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1E" w:rsidRPr="004C2B1E" w:rsidRDefault="004C2B1E" w:rsidP="009A5C74">
      <w:pPr>
        <w:jc w:val="center"/>
        <w:rPr>
          <w:rFonts w:eastAsia="Times New Roman" w:cs="Arial"/>
          <w:szCs w:val="36"/>
          <w:lang w:eastAsia="fr-FR"/>
        </w:rPr>
      </w:pPr>
      <w:r w:rsidRPr="004C2B1E">
        <w:rPr>
          <w:rFonts w:eastAsia="Times New Roman" w:cs="Arial"/>
          <w:noProof/>
          <w:szCs w:val="24"/>
          <w:lang w:eastAsia="fr-FR"/>
        </w:rPr>
        <w:drawing>
          <wp:inline distT="0" distB="0" distL="0" distR="0" wp14:anchorId="32465E25" wp14:editId="509677CC">
            <wp:extent cx="1685925" cy="857250"/>
            <wp:effectExtent l="0" t="0" r="9525" b="0"/>
            <wp:docPr id="1" name="Image 1" descr="D:\Users\nsebban\AppData\Local\Microsoft\Windows\Temporary Internet Files\Content.Word\logo AM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:\Users\nsebban\AppData\Local\Microsoft\Windows\Temporary Internet Files\Content.Word\logo AMF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B1E" w:rsidRPr="004C2B1E" w:rsidRDefault="004C2B1E" w:rsidP="009A5C74">
      <w:pPr>
        <w:rPr>
          <w:rFonts w:eastAsia="Times New Roman" w:cs="Times New Roman"/>
          <w:szCs w:val="24"/>
          <w:lang w:eastAsia="fr-FR"/>
        </w:rPr>
      </w:pPr>
    </w:p>
    <w:p w:rsidR="004C2B1E" w:rsidRDefault="004C2B1E" w:rsidP="009A5C74">
      <w:pPr>
        <w:keepNext/>
        <w:outlineLvl w:val="0"/>
        <w:rPr>
          <w:rFonts w:eastAsia="Times New Roman" w:cs="Arial"/>
          <w:b/>
          <w:bCs/>
          <w:sz w:val="16"/>
          <w:szCs w:val="24"/>
          <w:lang w:eastAsia="fr-FR"/>
        </w:rPr>
      </w:pPr>
      <w:r w:rsidRPr="004C2B1E">
        <w:rPr>
          <w:rFonts w:eastAsia="Times New Roman" w:cs="Arial"/>
          <w:b/>
          <w:bCs/>
          <w:sz w:val="16"/>
          <w:szCs w:val="24"/>
          <w:lang w:eastAsia="fr-FR"/>
        </w:rPr>
        <w:t>Mission Europe et International</w:t>
      </w:r>
    </w:p>
    <w:p w:rsidR="004C2B1E" w:rsidRDefault="004C2B1E" w:rsidP="009A5C74">
      <w:pPr>
        <w:keepNext/>
        <w:tabs>
          <w:tab w:val="right" w:pos="9070"/>
        </w:tabs>
        <w:outlineLvl w:val="0"/>
        <w:rPr>
          <w:rFonts w:eastAsia="Times New Roman" w:cs="Arial"/>
          <w:bCs/>
          <w:iCs/>
          <w:szCs w:val="20"/>
        </w:rPr>
      </w:pPr>
      <w:r w:rsidRPr="004C2B1E">
        <w:rPr>
          <w:rFonts w:eastAsia="Times New Roman" w:cs="Arial"/>
          <w:bCs/>
          <w:sz w:val="16"/>
          <w:szCs w:val="24"/>
          <w:lang w:eastAsia="fr-FR"/>
        </w:rPr>
        <w:t>Dossier suivi par Pauline TIVELET</w:t>
      </w:r>
      <w:r w:rsidR="009A5C74">
        <w:rPr>
          <w:rFonts w:eastAsia="Times New Roman" w:cs="Arial"/>
          <w:bCs/>
          <w:sz w:val="16"/>
          <w:szCs w:val="24"/>
          <w:lang w:eastAsia="fr-FR"/>
        </w:rPr>
        <w:tab/>
      </w:r>
      <w:r w:rsidR="00F3500F">
        <w:rPr>
          <w:rFonts w:eastAsia="Times New Roman" w:cs="Arial"/>
          <w:bCs/>
          <w:iCs/>
          <w:szCs w:val="20"/>
        </w:rPr>
        <w:t>12</w:t>
      </w:r>
      <w:r w:rsidRPr="004C2B1E">
        <w:rPr>
          <w:rFonts w:eastAsia="Times New Roman" w:cs="Arial"/>
          <w:bCs/>
          <w:iCs/>
          <w:szCs w:val="20"/>
        </w:rPr>
        <w:t>.0</w:t>
      </w:r>
      <w:r w:rsidR="00F3500F">
        <w:rPr>
          <w:rFonts w:eastAsia="Times New Roman" w:cs="Arial"/>
          <w:bCs/>
          <w:iCs/>
          <w:szCs w:val="20"/>
        </w:rPr>
        <w:t>5</w:t>
      </w:r>
      <w:r w:rsidRPr="004C2B1E">
        <w:rPr>
          <w:rFonts w:eastAsia="Times New Roman" w:cs="Arial"/>
          <w:bCs/>
          <w:iCs/>
          <w:szCs w:val="20"/>
        </w:rPr>
        <w:t>.2020</w:t>
      </w:r>
    </w:p>
    <w:p w:rsidR="009A5C74" w:rsidRPr="004C2B1E" w:rsidRDefault="009A5C74" w:rsidP="009A5C74">
      <w:pPr>
        <w:autoSpaceDE w:val="0"/>
        <w:autoSpaceDN w:val="0"/>
        <w:adjustRightInd w:val="0"/>
        <w:outlineLvl w:val="0"/>
        <w:rPr>
          <w:rFonts w:eastAsia="Times New Roman" w:cs="Arial"/>
          <w:bCs/>
          <w:iCs/>
          <w:szCs w:val="20"/>
        </w:rPr>
      </w:pPr>
    </w:p>
    <w:p w:rsidR="004C2B1E" w:rsidRPr="009A5C74" w:rsidRDefault="004C2B1E" w:rsidP="009A5C74">
      <w:pPr>
        <w:shd w:val="clear" w:color="auto" w:fill="1F4E79" w:themeFill="accent1" w:themeFillShade="80"/>
        <w:autoSpaceDE w:val="0"/>
        <w:autoSpaceDN w:val="0"/>
        <w:adjustRightInd w:val="0"/>
        <w:jc w:val="center"/>
        <w:outlineLvl w:val="0"/>
        <w:rPr>
          <w:rFonts w:eastAsia="Times New Roman" w:cs="Arial"/>
          <w:bCs/>
          <w:iCs/>
          <w:color w:val="FFFFFF" w:themeColor="background1"/>
          <w:sz w:val="16"/>
          <w:szCs w:val="16"/>
        </w:rPr>
      </w:pPr>
    </w:p>
    <w:p w:rsidR="00AB029E" w:rsidRDefault="00AB029E" w:rsidP="009A5C74">
      <w:pPr>
        <w:shd w:val="clear" w:color="auto" w:fill="1F4E79" w:themeFill="accent1" w:themeFillShade="80"/>
        <w:autoSpaceDE w:val="0"/>
        <w:autoSpaceDN w:val="0"/>
        <w:adjustRightInd w:val="0"/>
        <w:jc w:val="center"/>
        <w:outlineLvl w:val="0"/>
        <w:rPr>
          <w:rFonts w:eastAsia="Times New Roman" w:cs="Arial"/>
          <w:b/>
          <w:bCs/>
          <w:iCs/>
          <w:color w:val="FFFFFF" w:themeColor="background1"/>
          <w:sz w:val="24"/>
          <w:szCs w:val="24"/>
          <w:u w:val="single"/>
        </w:rPr>
      </w:pPr>
      <w:r>
        <w:rPr>
          <w:rFonts w:eastAsia="Times New Roman" w:cs="Arial"/>
          <w:b/>
          <w:bCs/>
          <w:iCs/>
          <w:color w:val="FFFFFF" w:themeColor="background1"/>
          <w:sz w:val="24"/>
          <w:szCs w:val="24"/>
          <w:u w:val="single"/>
        </w:rPr>
        <w:t>Réponse européenne à la crise sanitaire :</w:t>
      </w:r>
    </w:p>
    <w:p w:rsidR="004C2B1E" w:rsidRPr="004C2B1E" w:rsidRDefault="00AB029E" w:rsidP="009A5C74">
      <w:pPr>
        <w:shd w:val="clear" w:color="auto" w:fill="1F4E79" w:themeFill="accent1" w:themeFillShade="80"/>
        <w:autoSpaceDE w:val="0"/>
        <w:autoSpaceDN w:val="0"/>
        <w:adjustRightInd w:val="0"/>
        <w:jc w:val="center"/>
        <w:outlineLvl w:val="0"/>
        <w:rPr>
          <w:rFonts w:eastAsia="Times New Roman" w:cs="Arial"/>
          <w:b/>
          <w:bCs/>
          <w:iCs/>
          <w:color w:val="FFFFFF" w:themeColor="background1"/>
          <w:sz w:val="24"/>
          <w:szCs w:val="24"/>
          <w:u w:val="single"/>
        </w:rPr>
      </w:pPr>
      <w:r w:rsidRPr="00AB029E">
        <w:rPr>
          <w:rFonts w:eastAsia="Times New Roman" w:cs="Arial"/>
          <w:b/>
          <w:bCs/>
          <w:iCs/>
          <w:color w:val="FFFFFF" w:themeColor="background1"/>
          <w:sz w:val="24"/>
          <w:szCs w:val="24"/>
          <w:u w:val="single"/>
        </w:rPr>
        <w:t>Initiative d’investissement en réponse au Coronavirus (CRII)</w:t>
      </w:r>
      <w:r w:rsidR="009A5C74">
        <w:rPr>
          <w:rFonts w:eastAsia="Times New Roman" w:cs="Arial"/>
          <w:b/>
          <w:bCs/>
          <w:iCs/>
          <w:color w:val="FFFFFF" w:themeColor="background1"/>
          <w:sz w:val="24"/>
          <w:szCs w:val="24"/>
          <w:u w:val="single"/>
        </w:rPr>
        <w:t> </w:t>
      </w:r>
      <w:r w:rsidR="00A92006">
        <w:rPr>
          <w:rFonts w:eastAsia="Times New Roman" w:cs="Arial"/>
          <w:b/>
          <w:bCs/>
          <w:iCs/>
          <w:color w:val="FFFFFF" w:themeColor="background1"/>
          <w:sz w:val="24"/>
          <w:szCs w:val="24"/>
          <w:u w:val="single"/>
        </w:rPr>
        <w:t>:</w:t>
      </w:r>
    </w:p>
    <w:p w:rsidR="00E67C79" w:rsidRDefault="00E67C79" w:rsidP="009A5C74">
      <w:pPr>
        <w:shd w:val="clear" w:color="auto" w:fill="1F4E79" w:themeFill="accent1" w:themeFillShade="80"/>
        <w:autoSpaceDE w:val="0"/>
        <w:autoSpaceDN w:val="0"/>
        <w:adjustRightInd w:val="0"/>
        <w:jc w:val="center"/>
        <w:outlineLvl w:val="0"/>
        <w:rPr>
          <w:rFonts w:eastAsia="Times New Roman" w:cs="Arial"/>
          <w:b/>
          <w:bCs/>
          <w:iCs/>
          <w:color w:val="FFFFFF" w:themeColor="background1"/>
          <w:sz w:val="24"/>
          <w:szCs w:val="24"/>
        </w:rPr>
      </w:pPr>
    </w:p>
    <w:p w:rsidR="009A5C74" w:rsidRDefault="004557F6" w:rsidP="009A5C74">
      <w:pPr>
        <w:shd w:val="clear" w:color="auto" w:fill="1F4E79" w:themeFill="accent1" w:themeFillShade="80"/>
        <w:autoSpaceDE w:val="0"/>
        <w:autoSpaceDN w:val="0"/>
        <w:adjustRightInd w:val="0"/>
        <w:jc w:val="center"/>
        <w:outlineLvl w:val="0"/>
        <w:rPr>
          <w:rFonts w:eastAsia="Times New Roman" w:cs="Arial"/>
          <w:b/>
          <w:bCs/>
          <w:iCs/>
          <w:color w:val="FFFFFF" w:themeColor="background1"/>
          <w:sz w:val="24"/>
          <w:szCs w:val="24"/>
        </w:rPr>
      </w:pPr>
      <w:r>
        <w:rPr>
          <w:rFonts w:eastAsia="Times New Roman" w:cs="Arial"/>
          <w:b/>
          <w:bCs/>
          <w:iCs/>
          <w:color w:val="FFFFFF" w:themeColor="background1"/>
          <w:sz w:val="24"/>
          <w:szCs w:val="24"/>
        </w:rPr>
        <w:t xml:space="preserve">Utilisation des fonds européens </w:t>
      </w:r>
      <w:r w:rsidR="00E67C79">
        <w:rPr>
          <w:rFonts w:eastAsia="Times New Roman" w:cs="Arial"/>
          <w:b/>
          <w:bCs/>
          <w:iCs/>
          <w:color w:val="FFFFFF" w:themeColor="background1"/>
          <w:sz w:val="24"/>
          <w:szCs w:val="24"/>
        </w:rPr>
        <w:t>pour soutenir</w:t>
      </w:r>
    </w:p>
    <w:p w:rsidR="004C2B1E" w:rsidRPr="004C2B1E" w:rsidRDefault="00E67C79" w:rsidP="009A5C74">
      <w:pPr>
        <w:shd w:val="clear" w:color="auto" w:fill="1F4E79" w:themeFill="accent1" w:themeFillShade="80"/>
        <w:autoSpaceDE w:val="0"/>
        <w:autoSpaceDN w:val="0"/>
        <w:adjustRightInd w:val="0"/>
        <w:jc w:val="center"/>
        <w:outlineLvl w:val="0"/>
        <w:rPr>
          <w:rFonts w:eastAsia="Times New Roman" w:cs="Arial"/>
          <w:b/>
          <w:bCs/>
          <w:iCs/>
          <w:color w:val="FFFFFF" w:themeColor="background1"/>
          <w:sz w:val="24"/>
          <w:szCs w:val="24"/>
        </w:rPr>
      </w:pPr>
      <w:r>
        <w:rPr>
          <w:rFonts w:eastAsia="Times New Roman" w:cs="Arial"/>
          <w:b/>
          <w:bCs/>
          <w:iCs/>
          <w:color w:val="FFFFFF" w:themeColor="background1"/>
          <w:sz w:val="24"/>
          <w:szCs w:val="24"/>
        </w:rPr>
        <w:t xml:space="preserve">les collectivités </w:t>
      </w:r>
      <w:r w:rsidR="0002720D">
        <w:rPr>
          <w:rFonts w:eastAsia="Times New Roman" w:cs="Arial"/>
          <w:b/>
          <w:bCs/>
          <w:iCs/>
          <w:color w:val="FFFFFF" w:themeColor="background1"/>
          <w:sz w:val="24"/>
          <w:szCs w:val="24"/>
        </w:rPr>
        <w:t>et les systèmes de santé</w:t>
      </w:r>
    </w:p>
    <w:p w:rsidR="004C2B1E" w:rsidRPr="009A5C74" w:rsidRDefault="004C2B1E" w:rsidP="009A5C74">
      <w:pPr>
        <w:shd w:val="clear" w:color="auto" w:fill="1F4E79" w:themeFill="accent1" w:themeFillShade="80"/>
        <w:autoSpaceDE w:val="0"/>
        <w:autoSpaceDN w:val="0"/>
        <w:adjustRightInd w:val="0"/>
        <w:jc w:val="center"/>
        <w:outlineLvl w:val="0"/>
        <w:rPr>
          <w:rFonts w:eastAsia="Times New Roman" w:cs="Arial"/>
          <w:bCs/>
          <w:iCs/>
          <w:color w:val="FFFFFF" w:themeColor="background1"/>
          <w:sz w:val="16"/>
          <w:szCs w:val="16"/>
        </w:rPr>
      </w:pPr>
    </w:p>
    <w:p w:rsidR="004C2B1E" w:rsidRDefault="004C2B1E" w:rsidP="009A5C74">
      <w:pPr>
        <w:rPr>
          <w:rFonts w:cs="Arial"/>
        </w:rPr>
      </w:pPr>
    </w:p>
    <w:p w:rsidR="009A5C74" w:rsidRDefault="009A5C74" w:rsidP="009A5C74">
      <w:pPr>
        <w:rPr>
          <w:rFonts w:cs="Arial"/>
        </w:rPr>
      </w:pPr>
    </w:p>
    <w:p w:rsidR="00C53E96" w:rsidRDefault="00B25FCC" w:rsidP="009A5C74">
      <w:pPr>
        <w:rPr>
          <w:rFonts w:cs="Arial"/>
        </w:rPr>
      </w:pPr>
      <w:r>
        <w:rPr>
          <w:rFonts w:cs="Arial"/>
        </w:rPr>
        <w:t xml:space="preserve">Depuis </w:t>
      </w:r>
      <w:r w:rsidR="008301D5">
        <w:rPr>
          <w:rFonts w:cs="Arial"/>
        </w:rPr>
        <w:t>mi-mars</w:t>
      </w:r>
      <w:r>
        <w:rPr>
          <w:rFonts w:cs="Arial"/>
        </w:rPr>
        <w:t>, les annonces se sont multipliées au sein de l’Union européenne pour débloquer des fonds et ainsi</w:t>
      </w:r>
      <w:r w:rsidR="004901AF">
        <w:rPr>
          <w:rFonts w:cs="Arial"/>
        </w:rPr>
        <w:t xml:space="preserve"> contribuer à aider les Etats membres à faire face à la pandémie liée au COVID-19 et ses conséquences.</w:t>
      </w:r>
    </w:p>
    <w:p w:rsidR="00736595" w:rsidRDefault="00736595" w:rsidP="009A5C74">
      <w:pPr>
        <w:rPr>
          <w:rFonts w:cs="Arial"/>
        </w:rPr>
      </w:pPr>
    </w:p>
    <w:p w:rsidR="00B25FCC" w:rsidRDefault="008301D5" w:rsidP="009A5C74">
      <w:pPr>
        <w:rPr>
          <w:rFonts w:cs="Arial"/>
        </w:rPr>
      </w:pPr>
      <w:r>
        <w:rPr>
          <w:rFonts w:cs="Arial"/>
        </w:rPr>
        <w:t xml:space="preserve">Ce sont </w:t>
      </w:r>
      <w:r w:rsidR="00A32682" w:rsidRPr="00574016">
        <w:rPr>
          <w:rFonts w:cs="Arial"/>
          <w:b/>
        </w:rPr>
        <w:t>37 milliards d’euros d’investissement public européen</w:t>
      </w:r>
      <w:r w:rsidR="00A32682">
        <w:rPr>
          <w:rFonts w:cs="Arial"/>
        </w:rPr>
        <w:t>, au titre de la politique de cohésion</w:t>
      </w:r>
      <w:r w:rsidR="00261E08">
        <w:rPr>
          <w:rFonts w:cs="Arial"/>
        </w:rPr>
        <w:t>, qui</w:t>
      </w:r>
      <w:r w:rsidR="00A32682">
        <w:rPr>
          <w:rFonts w:cs="Arial"/>
        </w:rPr>
        <w:t xml:space="preserve"> doivent être dégagés rapidement</w:t>
      </w:r>
      <w:r w:rsidR="00736595">
        <w:rPr>
          <w:rFonts w:cs="Arial"/>
        </w:rPr>
        <w:t>. C</w:t>
      </w:r>
      <w:r>
        <w:rPr>
          <w:rFonts w:cs="Arial"/>
        </w:rPr>
        <w:t>e</w:t>
      </w:r>
      <w:r w:rsidR="00B1247F">
        <w:rPr>
          <w:rFonts w:cs="Arial"/>
        </w:rPr>
        <w:t>s</w:t>
      </w:r>
      <w:r w:rsidR="00A247E7">
        <w:rPr>
          <w:rFonts w:cs="Arial"/>
        </w:rPr>
        <w:t xml:space="preserve"> mesure</w:t>
      </w:r>
      <w:r w:rsidR="00B1247F">
        <w:rPr>
          <w:rFonts w:cs="Arial"/>
        </w:rPr>
        <w:t>s</w:t>
      </w:r>
      <w:r w:rsidR="00A247E7">
        <w:rPr>
          <w:rFonts w:cs="Arial"/>
        </w:rPr>
        <w:t xml:space="preserve"> </w:t>
      </w:r>
      <w:r w:rsidR="0069681E">
        <w:rPr>
          <w:rFonts w:cs="Arial"/>
        </w:rPr>
        <w:t xml:space="preserve">européennes </w:t>
      </w:r>
      <w:r w:rsidR="00A247E7">
        <w:rPr>
          <w:rFonts w:cs="Arial"/>
        </w:rPr>
        <w:t>concerne</w:t>
      </w:r>
      <w:r w:rsidR="00B1247F">
        <w:rPr>
          <w:rFonts w:cs="Arial"/>
        </w:rPr>
        <w:t>nt</w:t>
      </w:r>
      <w:r w:rsidR="00A247E7">
        <w:rPr>
          <w:rFonts w:cs="Arial"/>
        </w:rPr>
        <w:t xml:space="preserve"> les </w:t>
      </w:r>
      <w:r w:rsidR="00B1247F">
        <w:rPr>
          <w:rFonts w:cs="Arial"/>
        </w:rPr>
        <w:t xml:space="preserve">communes et </w:t>
      </w:r>
      <w:r w:rsidR="00736595">
        <w:rPr>
          <w:rFonts w:cs="Arial"/>
        </w:rPr>
        <w:t>l</w:t>
      </w:r>
      <w:r w:rsidR="00B1247F">
        <w:rPr>
          <w:rFonts w:cs="Arial"/>
        </w:rPr>
        <w:t>es intercommunalités car</w:t>
      </w:r>
      <w:r w:rsidR="00A247E7">
        <w:rPr>
          <w:rFonts w:cs="Arial"/>
        </w:rPr>
        <w:t xml:space="preserve"> </w:t>
      </w:r>
      <w:r w:rsidR="00B1247F">
        <w:rPr>
          <w:rFonts w:cs="Arial"/>
        </w:rPr>
        <w:t xml:space="preserve">elles permettent </w:t>
      </w:r>
      <w:r w:rsidR="00A247E7">
        <w:rPr>
          <w:rFonts w:cs="Arial"/>
        </w:rPr>
        <w:t>l’utilisation et la réorientation des fonds structurels, comme le FEDER</w:t>
      </w:r>
      <w:r w:rsidR="00226113">
        <w:rPr>
          <w:rStyle w:val="Appelnotedebasdep"/>
          <w:rFonts w:cs="Arial"/>
        </w:rPr>
        <w:footnoteReference w:id="1"/>
      </w:r>
      <w:r w:rsidR="00A247E7">
        <w:rPr>
          <w:rFonts w:cs="Arial"/>
        </w:rPr>
        <w:t xml:space="preserve"> et le FSE</w:t>
      </w:r>
      <w:r w:rsidR="00226113">
        <w:rPr>
          <w:rStyle w:val="Appelnotedebasdep"/>
          <w:rFonts w:cs="Arial"/>
        </w:rPr>
        <w:footnoteReference w:id="2"/>
      </w:r>
      <w:r w:rsidR="0069681E">
        <w:rPr>
          <w:rFonts w:cs="Arial"/>
        </w:rPr>
        <w:t>,</w:t>
      </w:r>
      <w:r w:rsidR="004901AF">
        <w:rPr>
          <w:rFonts w:cs="Arial"/>
        </w:rPr>
        <w:t xml:space="preserve"> pour financer les matériels médicaux, soutenir les systèmes de santé, principalement les établissements hospitaliers, et soutenir les PME pour faire face à la crise économique.</w:t>
      </w:r>
    </w:p>
    <w:p w:rsidR="00736595" w:rsidRDefault="00736595" w:rsidP="009A5C74">
      <w:pPr>
        <w:rPr>
          <w:rFonts w:cs="Arial"/>
          <w:b/>
        </w:rPr>
      </w:pPr>
    </w:p>
    <w:p w:rsidR="00000F3D" w:rsidRDefault="00A247E7" w:rsidP="009A5C74">
      <w:pPr>
        <w:rPr>
          <w:rFonts w:cs="Arial"/>
        </w:rPr>
      </w:pPr>
      <w:r w:rsidRPr="00B1247F">
        <w:rPr>
          <w:rFonts w:cs="Arial"/>
          <w:b/>
        </w:rPr>
        <w:t>Attention, ce ne sont pas des fonds nouveaux qui sont injectés</w:t>
      </w:r>
      <w:r w:rsidR="00000F3D">
        <w:rPr>
          <w:rFonts w:cs="Arial"/>
          <w:b/>
        </w:rPr>
        <w:t>.</w:t>
      </w:r>
      <w:r w:rsidR="00000F3D" w:rsidRPr="009A5C74">
        <w:rPr>
          <w:rFonts w:cs="Arial"/>
        </w:rPr>
        <w:t xml:space="preserve"> </w:t>
      </w:r>
      <w:r w:rsidR="00000F3D">
        <w:rPr>
          <w:rFonts w:cs="Arial"/>
        </w:rPr>
        <w:t>Il s’agit d’</w:t>
      </w:r>
      <w:r w:rsidR="00C57421">
        <w:rPr>
          <w:rFonts w:cs="Arial"/>
        </w:rPr>
        <w:t>utiliser</w:t>
      </w:r>
      <w:r>
        <w:rPr>
          <w:rFonts w:cs="Arial"/>
        </w:rPr>
        <w:t xml:space="preserve"> deux types de mécanismes : le non remboursement des sommes 2019 non consommé</w:t>
      </w:r>
      <w:r w:rsidR="00C216EB">
        <w:rPr>
          <w:rFonts w:cs="Arial"/>
        </w:rPr>
        <w:t>e</w:t>
      </w:r>
      <w:r>
        <w:rPr>
          <w:rFonts w:cs="Arial"/>
        </w:rPr>
        <w:t>s et le versement anticipé pour l’année 2020 de l’enveloppe que la Commission européenne envoie chaque année pour la programmation en cours.</w:t>
      </w:r>
      <w:r w:rsidR="005B15BA">
        <w:rPr>
          <w:rFonts w:cs="Arial"/>
        </w:rPr>
        <w:t xml:space="preserve"> </w:t>
      </w:r>
      <w:r w:rsidR="009A5C74">
        <w:rPr>
          <w:rFonts w:cs="Arial"/>
          <w:b/>
        </w:rPr>
        <w:t xml:space="preserve">Cela représente en France </w:t>
      </w:r>
      <w:r w:rsidR="005B15BA" w:rsidRPr="005E2B4E">
        <w:rPr>
          <w:rFonts w:cs="Arial"/>
          <w:b/>
        </w:rPr>
        <w:t>u</w:t>
      </w:r>
      <w:r w:rsidR="009A5C74">
        <w:rPr>
          <w:rFonts w:cs="Arial"/>
          <w:b/>
        </w:rPr>
        <w:t>n</w:t>
      </w:r>
      <w:r w:rsidR="005B15BA" w:rsidRPr="005E2B4E">
        <w:rPr>
          <w:rFonts w:cs="Arial"/>
          <w:b/>
        </w:rPr>
        <w:t xml:space="preserve"> total</w:t>
      </w:r>
      <w:r w:rsidR="00C57DF0" w:rsidRPr="005E2B4E">
        <w:rPr>
          <w:rFonts w:cs="Arial"/>
          <w:b/>
        </w:rPr>
        <w:t xml:space="preserve"> de 650 millions d’euros mobilisable</w:t>
      </w:r>
      <w:r w:rsidR="009A5C74">
        <w:rPr>
          <w:rFonts w:cs="Arial"/>
          <w:b/>
        </w:rPr>
        <w:t>s</w:t>
      </w:r>
      <w:r w:rsidR="00C57DF0" w:rsidRPr="005E2B4E">
        <w:rPr>
          <w:rFonts w:cs="Arial"/>
          <w:b/>
        </w:rPr>
        <w:t> :</w:t>
      </w:r>
      <w:r w:rsidR="00C57DF0" w:rsidRPr="009A5C74">
        <w:rPr>
          <w:rFonts w:cs="Arial"/>
        </w:rPr>
        <w:t xml:space="preserve"> </w:t>
      </w:r>
      <w:r w:rsidR="00C57DF0">
        <w:rPr>
          <w:rFonts w:cs="Arial"/>
        </w:rPr>
        <w:t>312 millions de préfinancement européen et 338 millions de fonds déjà disponible</w:t>
      </w:r>
      <w:r w:rsidR="009A5C74">
        <w:rPr>
          <w:rFonts w:cs="Arial"/>
        </w:rPr>
        <w:t>s</w:t>
      </w:r>
      <w:r w:rsidR="00C57DF0">
        <w:rPr>
          <w:rFonts w:cs="Arial"/>
        </w:rPr>
        <w:t xml:space="preserve"> car non </w:t>
      </w:r>
      <w:r w:rsidR="00C216EB">
        <w:rPr>
          <w:rFonts w:cs="Arial"/>
        </w:rPr>
        <w:t>alloués</w:t>
      </w:r>
      <w:r w:rsidR="00C57DF0">
        <w:rPr>
          <w:rFonts w:cs="Arial"/>
        </w:rPr>
        <w:t>.</w:t>
      </w:r>
    </w:p>
    <w:p w:rsidR="001D5F86" w:rsidRDefault="001D5F86" w:rsidP="009A5C74">
      <w:pPr>
        <w:rPr>
          <w:rFonts w:cs="Arial"/>
          <w:u w:val="single"/>
        </w:rPr>
      </w:pPr>
    </w:p>
    <w:p w:rsidR="00C57DF0" w:rsidRDefault="00736595" w:rsidP="009A5C74">
      <w:pPr>
        <w:rPr>
          <w:rFonts w:cs="Arial"/>
        </w:rPr>
      </w:pPr>
      <w:r w:rsidRPr="00736595">
        <w:rPr>
          <w:rFonts w:cs="Arial"/>
          <w:u w:val="single"/>
        </w:rPr>
        <w:t>M</w:t>
      </w:r>
      <w:r w:rsidRPr="00C53E96">
        <w:rPr>
          <w:rFonts w:cs="Arial"/>
          <w:u w:val="single"/>
        </w:rPr>
        <w:t>ais pour quelles actions et selon quelles modalités ?</w:t>
      </w:r>
      <w:r w:rsidRPr="009A5C74">
        <w:rPr>
          <w:rFonts w:cs="Arial"/>
        </w:rPr>
        <w:t xml:space="preserve"> </w:t>
      </w:r>
      <w:r w:rsidR="00C57DF0">
        <w:rPr>
          <w:rFonts w:cs="Arial"/>
        </w:rPr>
        <w:t>Les régions françaises, en tant qu’autorité</w:t>
      </w:r>
      <w:r w:rsidR="009A5C74">
        <w:rPr>
          <w:rFonts w:cs="Arial"/>
        </w:rPr>
        <w:t>s</w:t>
      </w:r>
      <w:r w:rsidR="00C57DF0">
        <w:rPr>
          <w:rFonts w:cs="Arial"/>
        </w:rPr>
        <w:t xml:space="preserve"> de gesti</w:t>
      </w:r>
      <w:r w:rsidR="00DE6CB5">
        <w:rPr>
          <w:rFonts w:cs="Arial"/>
        </w:rPr>
        <w:t>on des fonds, ont fait le choix</w:t>
      </w:r>
      <w:r w:rsidR="009A5C74">
        <w:rPr>
          <w:rFonts w:cs="Arial"/>
        </w:rPr>
        <w:t> :</w:t>
      </w:r>
    </w:p>
    <w:p w:rsidR="00DE6CB5" w:rsidRDefault="00DE6CB5" w:rsidP="009A5C74">
      <w:pPr>
        <w:pStyle w:val="Paragraphedeliste"/>
        <w:numPr>
          <w:ilvl w:val="0"/>
          <w:numId w:val="9"/>
        </w:numPr>
        <w:rPr>
          <w:rFonts w:cs="Arial"/>
        </w:rPr>
      </w:pPr>
      <w:r>
        <w:rPr>
          <w:rFonts w:cs="Arial"/>
        </w:rPr>
        <w:t>d’orienter le FEDER sur des aides directes aux entreprises pour les accompagner lors de la phase de reprise pour compléter le plan de l’Etat d’accorder des prêts aux entreprises ;</w:t>
      </w:r>
    </w:p>
    <w:p w:rsidR="00DE6CB5" w:rsidRPr="00000F3D" w:rsidRDefault="00DD0F27" w:rsidP="009A5C74">
      <w:pPr>
        <w:pStyle w:val="Paragraphedeliste"/>
        <w:numPr>
          <w:ilvl w:val="0"/>
          <w:numId w:val="9"/>
        </w:numPr>
        <w:rPr>
          <w:rFonts w:cs="Arial"/>
          <w:b/>
          <w:u w:val="single"/>
        </w:rPr>
      </w:pPr>
      <w:r>
        <w:rPr>
          <w:rFonts w:cs="Arial"/>
        </w:rPr>
        <w:t>d’orienter le FSE pour massifier les achats de masques et d’autres équipements de santé</w:t>
      </w:r>
      <w:r w:rsidR="001D5F86">
        <w:rPr>
          <w:rFonts w:cs="Arial"/>
        </w:rPr>
        <w:t>.</w:t>
      </w:r>
      <w:r>
        <w:rPr>
          <w:rFonts w:cs="Arial"/>
        </w:rPr>
        <w:t xml:space="preserve"> </w:t>
      </w:r>
      <w:r w:rsidR="001D5F86">
        <w:rPr>
          <w:rFonts w:cs="Arial"/>
        </w:rPr>
        <w:t>C</w:t>
      </w:r>
      <w:r>
        <w:rPr>
          <w:rFonts w:cs="Arial"/>
        </w:rPr>
        <w:t xml:space="preserve">ertaines régions entendent utiliser ces crédits pour financer la mobilisation de professionnels </w:t>
      </w:r>
      <w:r w:rsidRPr="00000F3D">
        <w:rPr>
          <w:rFonts w:cs="Arial"/>
        </w:rPr>
        <w:t>de santé supplémentaires.</w:t>
      </w:r>
    </w:p>
    <w:p w:rsidR="009A5C74" w:rsidRDefault="009A5C74" w:rsidP="009A5C74">
      <w:pPr>
        <w:rPr>
          <w:rFonts w:cs="Arial"/>
        </w:rPr>
      </w:pPr>
    </w:p>
    <w:p w:rsidR="005B15BA" w:rsidRDefault="005B15BA" w:rsidP="009A5C74">
      <w:pPr>
        <w:rPr>
          <w:rFonts w:cs="Arial"/>
        </w:rPr>
      </w:pPr>
      <w:r>
        <w:rPr>
          <w:rFonts w:cs="Arial"/>
        </w:rPr>
        <w:t>Afin que les communes et leur</w:t>
      </w:r>
      <w:r w:rsidR="004428A0">
        <w:rPr>
          <w:rFonts w:cs="Arial"/>
        </w:rPr>
        <w:t>s</w:t>
      </w:r>
      <w:r>
        <w:rPr>
          <w:rFonts w:cs="Arial"/>
        </w:rPr>
        <w:t xml:space="preserve"> groupement</w:t>
      </w:r>
      <w:r w:rsidR="004428A0">
        <w:rPr>
          <w:rFonts w:cs="Arial"/>
        </w:rPr>
        <w:t>s</w:t>
      </w:r>
      <w:r>
        <w:rPr>
          <w:rFonts w:cs="Arial"/>
        </w:rPr>
        <w:t>, aux premières loges de la gestion de la crise</w:t>
      </w:r>
      <w:r w:rsidR="00711284">
        <w:rPr>
          <w:rFonts w:cs="Arial"/>
        </w:rPr>
        <w:t>,</w:t>
      </w:r>
      <w:r>
        <w:rPr>
          <w:rFonts w:cs="Arial"/>
        </w:rPr>
        <w:t xml:space="preserve"> </w:t>
      </w:r>
      <w:r w:rsidR="00FD0AF3">
        <w:rPr>
          <w:rFonts w:cs="Arial"/>
        </w:rPr>
        <w:t>ne soient pas oubliées</w:t>
      </w:r>
      <w:r w:rsidR="001D5F86">
        <w:rPr>
          <w:rFonts w:cs="Arial"/>
        </w:rPr>
        <w:t>,</w:t>
      </w:r>
      <w:r w:rsidR="00FD0AF3">
        <w:rPr>
          <w:rFonts w:cs="Arial"/>
        </w:rPr>
        <w:t xml:space="preserve"> dans la fourniture de masques notamment, mais qu’elles </w:t>
      </w:r>
      <w:r>
        <w:rPr>
          <w:rFonts w:cs="Arial"/>
        </w:rPr>
        <w:t>soi</w:t>
      </w:r>
      <w:r w:rsidR="00711284">
        <w:rPr>
          <w:rFonts w:cs="Arial"/>
        </w:rPr>
        <w:t>en</w:t>
      </w:r>
      <w:r>
        <w:rPr>
          <w:rFonts w:cs="Arial"/>
        </w:rPr>
        <w:t xml:space="preserve">t </w:t>
      </w:r>
      <w:r w:rsidR="00FD0AF3">
        <w:rPr>
          <w:rFonts w:cs="Arial"/>
        </w:rPr>
        <w:t xml:space="preserve">également </w:t>
      </w:r>
      <w:r>
        <w:rPr>
          <w:rFonts w:cs="Arial"/>
        </w:rPr>
        <w:t xml:space="preserve">le plus possible incluses dans ce processus pour apporter une réponse concertée et efficace sur le terrain, </w:t>
      </w:r>
      <w:r w:rsidR="00226113">
        <w:rPr>
          <w:rFonts w:cs="Arial"/>
        </w:rPr>
        <w:t xml:space="preserve">il existe </w:t>
      </w:r>
      <w:r>
        <w:rPr>
          <w:rFonts w:cs="Arial"/>
        </w:rPr>
        <w:t>deux moyens de se saisir de cette opportunité</w:t>
      </w:r>
      <w:r w:rsidR="001D5F86">
        <w:rPr>
          <w:rFonts w:cs="Arial"/>
        </w:rPr>
        <w:t xml:space="preserve"> de financement</w:t>
      </w:r>
      <w:r>
        <w:rPr>
          <w:rFonts w:cs="Arial"/>
        </w:rPr>
        <w:t> :</w:t>
      </w:r>
    </w:p>
    <w:p w:rsidR="004E60D7" w:rsidRDefault="004E60D7" w:rsidP="009A5C74">
      <w:pPr>
        <w:rPr>
          <w:rFonts w:cs="Arial"/>
        </w:rPr>
      </w:pPr>
    </w:p>
    <w:p w:rsidR="00FD0AF3" w:rsidRPr="00AD776A" w:rsidRDefault="00FD0AF3" w:rsidP="009A5C74">
      <w:pPr>
        <w:pStyle w:val="Paragraphedeliste"/>
        <w:numPr>
          <w:ilvl w:val="0"/>
          <w:numId w:val="5"/>
        </w:numPr>
        <w:rPr>
          <w:rFonts w:cs="Arial"/>
          <w:b/>
          <w:color w:val="0070C0"/>
        </w:rPr>
      </w:pPr>
      <w:r w:rsidRPr="00AD776A">
        <w:rPr>
          <w:rFonts w:cs="Arial"/>
          <w:b/>
          <w:color w:val="0070C0"/>
        </w:rPr>
        <w:t>L’AMF et les autres associations d’élus du bloc communal dialoguent avec Régions de France</w:t>
      </w:r>
      <w:r w:rsidR="002A32C0" w:rsidRPr="00AD776A">
        <w:rPr>
          <w:rFonts w:cs="Arial"/>
          <w:b/>
          <w:color w:val="0070C0"/>
        </w:rPr>
        <w:t xml:space="preserve"> et l’</w:t>
      </w:r>
      <w:r w:rsidR="00226113">
        <w:rPr>
          <w:rFonts w:cs="Arial"/>
          <w:b/>
          <w:color w:val="0070C0"/>
        </w:rPr>
        <w:t>A</w:t>
      </w:r>
      <w:r w:rsidR="00226113" w:rsidRPr="00226113">
        <w:rPr>
          <w:rFonts w:cs="Arial"/>
          <w:b/>
          <w:color w:val="0070C0"/>
        </w:rPr>
        <w:t xml:space="preserve">gence nationale de la cohésion des territoires </w:t>
      </w:r>
      <w:r w:rsidR="00226113">
        <w:rPr>
          <w:rFonts w:cs="Arial"/>
          <w:b/>
          <w:color w:val="0070C0"/>
        </w:rPr>
        <w:t>(</w:t>
      </w:r>
      <w:r w:rsidR="002A32C0" w:rsidRPr="00AD776A">
        <w:rPr>
          <w:rFonts w:cs="Arial"/>
          <w:b/>
          <w:color w:val="0070C0"/>
        </w:rPr>
        <w:t>ANCT</w:t>
      </w:r>
      <w:r w:rsidR="00226113">
        <w:rPr>
          <w:rFonts w:cs="Arial"/>
          <w:b/>
          <w:color w:val="0070C0"/>
        </w:rPr>
        <w:t>)</w:t>
      </w:r>
      <w:r w:rsidR="002A32C0" w:rsidRPr="00AD776A">
        <w:rPr>
          <w:rFonts w:cs="Arial"/>
          <w:b/>
          <w:color w:val="0070C0"/>
        </w:rPr>
        <w:t xml:space="preserve"> afin que les communes et leur</w:t>
      </w:r>
      <w:r w:rsidR="00226113">
        <w:rPr>
          <w:rFonts w:cs="Arial"/>
          <w:b/>
          <w:color w:val="0070C0"/>
        </w:rPr>
        <w:t>s</w:t>
      </w:r>
      <w:r w:rsidR="002A32C0" w:rsidRPr="00AD776A">
        <w:rPr>
          <w:rFonts w:cs="Arial"/>
          <w:b/>
          <w:color w:val="0070C0"/>
        </w:rPr>
        <w:t xml:space="preserve"> groupement</w:t>
      </w:r>
      <w:r w:rsidR="00226113">
        <w:rPr>
          <w:rFonts w:cs="Arial"/>
          <w:b/>
          <w:color w:val="0070C0"/>
        </w:rPr>
        <w:t>s</w:t>
      </w:r>
      <w:r w:rsidR="002A32C0" w:rsidRPr="00AD776A">
        <w:rPr>
          <w:rFonts w:cs="Arial"/>
          <w:b/>
          <w:color w:val="0070C0"/>
        </w:rPr>
        <w:t xml:space="preserve"> soient associés, et que les régions</w:t>
      </w:r>
      <w:r w:rsidR="001D5F86">
        <w:rPr>
          <w:rFonts w:cs="Arial"/>
          <w:b/>
          <w:color w:val="0070C0"/>
        </w:rPr>
        <w:t xml:space="preserve"> incluent un élu</w:t>
      </w:r>
      <w:r w:rsidR="00474366" w:rsidRPr="00AD776A">
        <w:rPr>
          <w:rFonts w:cs="Arial"/>
          <w:b/>
          <w:color w:val="0070C0"/>
        </w:rPr>
        <w:t xml:space="preserve"> lorsqu’une aide est accordée à un bénéficiaire résidant dans la commune. Cela permettra de mieux coordonner les actions municipales ou intercommunales menées ;</w:t>
      </w:r>
    </w:p>
    <w:p w:rsidR="002A4ABE" w:rsidRPr="00AD776A" w:rsidRDefault="00474366" w:rsidP="009A5C74">
      <w:pPr>
        <w:pStyle w:val="Paragraphedeliste"/>
        <w:numPr>
          <w:ilvl w:val="0"/>
          <w:numId w:val="5"/>
        </w:numPr>
        <w:rPr>
          <w:rFonts w:cs="Arial"/>
          <w:b/>
          <w:color w:val="0070C0"/>
        </w:rPr>
      </w:pPr>
      <w:r w:rsidRPr="00AD776A">
        <w:rPr>
          <w:rFonts w:cs="Arial"/>
          <w:b/>
          <w:color w:val="0070C0"/>
        </w:rPr>
        <w:t>En complément, l’AMF invite les communes et intercommunalités à faire remonter à leur région les besoins de leur territoire en prenant en compte les informations et les possibilités de financem</w:t>
      </w:r>
      <w:r w:rsidR="00005E7F" w:rsidRPr="00AD776A">
        <w:rPr>
          <w:rFonts w:cs="Arial"/>
          <w:b/>
          <w:color w:val="0070C0"/>
        </w:rPr>
        <w:t xml:space="preserve">ents européens </w:t>
      </w:r>
      <w:r w:rsidR="001D5F86">
        <w:rPr>
          <w:rFonts w:cs="Arial"/>
          <w:b/>
          <w:color w:val="0070C0"/>
        </w:rPr>
        <w:t>ci-dessous</w:t>
      </w:r>
      <w:r w:rsidR="00005E7F" w:rsidRPr="00AD776A">
        <w:rPr>
          <w:rFonts w:cs="Arial"/>
          <w:b/>
          <w:color w:val="0070C0"/>
        </w:rPr>
        <w:t>.</w:t>
      </w:r>
    </w:p>
    <w:p w:rsidR="001D5F86" w:rsidRDefault="001D5F86" w:rsidP="009A5C74"/>
    <w:p w:rsidR="005F13DB" w:rsidRPr="00FF349B" w:rsidRDefault="0096461C" w:rsidP="00FF349B">
      <w:pPr>
        <w:pStyle w:val="Titre1"/>
      </w:pPr>
      <w:r w:rsidRPr="00FF349B">
        <w:t>Les</w:t>
      </w:r>
      <w:r w:rsidR="001D5F86" w:rsidRPr="00FF349B">
        <w:t xml:space="preserve"> propositions de la Commission</w:t>
      </w:r>
      <w:r w:rsidRPr="00FF349B">
        <w:t xml:space="preserve"> </w:t>
      </w:r>
      <w:r w:rsidR="00FF349B">
        <w:t xml:space="preserve">européenne </w:t>
      </w:r>
      <w:r w:rsidR="00846734" w:rsidRPr="00FF349B">
        <w:t>et</w:t>
      </w:r>
      <w:r w:rsidR="00190A99" w:rsidRPr="00FF349B">
        <w:t xml:space="preserve"> ce que cela implique pour le</w:t>
      </w:r>
      <w:r w:rsidR="009A5C74" w:rsidRPr="00FF349B">
        <w:t>s communes et intercommunalités</w:t>
      </w:r>
    </w:p>
    <w:p w:rsidR="00FF349B" w:rsidRDefault="00FF349B" w:rsidP="009A5C74">
      <w:pPr>
        <w:rPr>
          <w:rFonts w:cs="Arial"/>
        </w:rPr>
      </w:pPr>
    </w:p>
    <w:p w:rsidR="005F13DB" w:rsidRDefault="005F13DB" w:rsidP="009A5C74">
      <w:pPr>
        <w:rPr>
          <w:rFonts w:cs="Arial"/>
        </w:rPr>
      </w:pPr>
      <w:r>
        <w:rPr>
          <w:rFonts w:cs="Arial"/>
        </w:rPr>
        <w:t xml:space="preserve">Un effort de flexibilité a été fait par la Commission pour l’utilisation des fonds destinés à la lutte contre le COVID-19 et ses conséquences. Elles couvriront, pour certaines, </w:t>
      </w:r>
      <w:r w:rsidRPr="00EB3CCE">
        <w:rPr>
          <w:rFonts w:cs="Arial"/>
        </w:rPr>
        <w:t>la fin de la programmation actuelle</w:t>
      </w:r>
      <w:r>
        <w:rPr>
          <w:rFonts w:cs="Arial"/>
        </w:rPr>
        <w:t>,</w:t>
      </w:r>
      <w:r w:rsidRPr="00EB3CCE">
        <w:rPr>
          <w:rFonts w:cs="Arial"/>
        </w:rPr>
        <w:t xml:space="preserve"> et se poursuivront pour d’autres jusqu’en 2021. </w:t>
      </w:r>
      <w:r w:rsidRPr="00486592">
        <w:rPr>
          <w:rFonts w:cs="Arial"/>
          <w:b/>
          <w:u w:val="single"/>
        </w:rPr>
        <w:t>Chaque mesure est prise à la discrétion de chaque région selon le principe de libre administration des collectivités.</w:t>
      </w:r>
    </w:p>
    <w:p w:rsidR="00FF349B" w:rsidRDefault="00FF349B" w:rsidP="009A5C74">
      <w:pPr>
        <w:rPr>
          <w:rFonts w:cs="Arial"/>
        </w:rPr>
      </w:pPr>
    </w:p>
    <w:p w:rsidR="005F13DB" w:rsidRDefault="005F13DB" w:rsidP="009A5C74">
      <w:pPr>
        <w:rPr>
          <w:rFonts w:cs="Arial"/>
        </w:rPr>
      </w:pPr>
      <w:r>
        <w:rPr>
          <w:rFonts w:cs="Arial"/>
        </w:rPr>
        <w:t>Les mesures présentées ci-dessous rendront plus simple les projets et les demandes de financement que pourront faire les communes et les intercommunalités.</w:t>
      </w:r>
      <w:r w:rsidRPr="00FA5F4F">
        <w:rPr>
          <w:rFonts w:cs="Arial"/>
        </w:rPr>
        <w:t xml:space="preserve"> </w:t>
      </w:r>
      <w:r>
        <w:rPr>
          <w:rFonts w:cs="Arial"/>
        </w:rPr>
        <w:t>Cependant, si elles allègent considérablement la lourdeur administrative des fonds européens, elles n’en suppriment pas les règles de mise en place et de fonctionnement du système de gestion, qui continuent de</w:t>
      </w:r>
      <w:r w:rsidR="00FF349B">
        <w:rPr>
          <w:rFonts w:cs="Arial"/>
        </w:rPr>
        <w:t xml:space="preserve"> s’appliquer aux collectivités.</w:t>
      </w:r>
    </w:p>
    <w:p w:rsidR="00FF349B" w:rsidRDefault="00FF349B" w:rsidP="009A5C74">
      <w:pPr>
        <w:rPr>
          <w:rFonts w:cs="Arial"/>
        </w:rPr>
      </w:pPr>
    </w:p>
    <w:p w:rsidR="00374685" w:rsidRPr="00374685" w:rsidRDefault="00DA5816" w:rsidP="009A5C74">
      <w:pPr>
        <w:pStyle w:val="Paragraphedeliste"/>
        <w:numPr>
          <w:ilvl w:val="0"/>
          <w:numId w:val="8"/>
        </w:numPr>
        <w:rPr>
          <w:rFonts w:cs="Arial"/>
          <w:b/>
          <w:color w:val="0070C0"/>
        </w:rPr>
      </w:pPr>
      <w:r>
        <w:rPr>
          <w:rFonts w:cs="Arial"/>
          <w:b/>
          <w:color w:val="0070C0"/>
        </w:rPr>
        <w:t>Présentation des principales mesures de la Commission</w:t>
      </w:r>
    </w:p>
    <w:p w:rsidR="00FF349B" w:rsidRDefault="00FF349B" w:rsidP="009A5C74">
      <w:pPr>
        <w:rPr>
          <w:rFonts w:cs="Arial"/>
        </w:rPr>
      </w:pPr>
    </w:p>
    <w:p w:rsidR="00EB3CCE" w:rsidRDefault="00FA5F4F" w:rsidP="009A5C74">
      <w:pPr>
        <w:rPr>
          <w:rFonts w:cs="Arial"/>
        </w:rPr>
      </w:pPr>
      <w:r>
        <w:rPr>
          <w:rFonts w:cs="Arial"/>
        </w:rPr>
        <w:t xml:space="preserve">Une des mesures phares des propositions de la Commission est la possibilité pour les actions permettant de lutter contre le COVID-19 et les répercussions de la crise de </w:t>
      </w:r>
      <w:r w:rsidRPr="00EB3CCE">
        <w:rPr>
          <w:rFonts w:cs="Arial"/>
          <w:b/>
        </w:rPr>
        <w:t>pouvoir bénéficier d’un taux d</w:t>
      </w:r>
      <w:r w:rsidR="00E31E7D" w:rsidRPr="00EB3CCE">
        <w:rPr>
          <w:rFonts w:cs="Arial"/>
          <w:b/>
        </w:rPr>
        <w:t>e cofinancement de l’UE de 100</w:t>
      </w:r>
      <w:r w:rsidR="00FF349B">
        <w:rPr>
          <w:rFonts w:cs="Arial"/>
          <w:b/>
        </w:rPr>
        <w:t> </w:t>
      </w:r>
      <w:r w:rsidR="00E31E7D" w:rsidRPr="00EB3CCE">
        <w:rPr>
          <w:rFonts w:cs="Arial"/>
          <w:b/>
        </w:rPr>
        <w:t>%</w:t>
      </w:r>
      <w:r w:rsidR="008D14D3">
        <w:rPr>
          <w:rFonts w:cs="Arial"/>
        </w:rPr>
        <w:t xml:space="preserve"> pour certains projets.</w:t>
      </w:r>
    </w:p>
    <w:p w:rsidR="00FF349B" w:rsidRDefault="00FF349B" w:rsidP="009A5C74">
      <w:pPr>
        <w:rPr>
          <w:rFonts w:cs="Arial"/>
        </w:rPr>
      </w:pPr>
    </w:p>
    <w:p w:rsidR="00FA5F4F" w:rsidRPr="00AB4FCC" w:rsidRDefault="00E31E7D" w:rsidP="009A5C74">
      <w:pPr>
        <w:rPr>
          <w:rFonts w:cs="Arial"/>
          <w:i/>
          <w:color w:val="0070C0"/>
        </w:rPr>
      </w:pPr>
      <w:r w:rsidRPr="00AB4FCC">
        <w:rPr>
          <w:rFonts w:cs="Arial"/>
          <w:i/>
          <w:color w:val="0070C0"/>
        </w:rPr>
        <w:t>C</w:t>
      </w:r>
      <w:r w:rsidR="00FA5F4F" w:rsidRPr="00AB4FCC">
        <w:rPr>
          <w:rFonts w:cs="Arial"/>
          <w:i/>
          <w:color w:val="0070C0"/>
        </w:rPr>
        <w:t xml:space="preserve">ela implique pour les communes et leurs groupements que </w:t>
      </w:r>
      <w:r w:rsidR="008D14D3">
        <w:rPr>
          <w:rFonts w:cs="Arial"/>
          <w:i/>
          <w:color w:val="0070C0"/>
        </w:rPr>
        <w:t>la recherche et l</w:t>
      </w:r>
      <w:r w:rsidR="00FA5F4F" w:rsidRPr="00AB4FCC">
        <w:rPr>
          <w:rFonts w:cs="Arial"/>
          <w:i/>
          <w:color w:val="0070C0"/>
        </w:rPr>
        <w:t xml:space="preserve">es dépôts de dossier auprès d’autres co-financeurs ne seront pas </w:t>
      </w:r>
      <w:r w:rsidR="008D14D3">
        <w:rPr>
          <w:rFonts w:cs="Arial"/>
          <w:i/>
          <w:color w:val="0070C0"/>
        </w:rPr>
        <w:t xml:space="preserve">forcément </w:t>
      </w:r>
      <w:r w:rsidR="00FA5F4F" w:rsidRPr="00AB4FCC">
        <w:rPr>
          <w:rFonts w:cs="Arial"/>
          <w:i/>
          <w:color w:val="0070C0"/>
        </w:rPr>
        <w:t>nécessaire</w:t>
      </w:r>
      <w:r w:rsidRPr="00AB4FCC">
        <w:rPr>
          <w:rFonts w:cs="Arial"/>
          <w:i/>
          <w:color w:val="0070C0"/>
        </w:rPr>
        <w:t>s</w:t>
      </w:r>
      <w:r w:rsidR="00FA5F4F" w:rsidRPr="00AB4FCC">
        <w:rPr>
          <w:rFonts w:cs="Arial"/>
          <w:i/>
          <w:color w:val="0070C0"/>
        </w:rPr>
        <w:t>.</w:t>
      </w:r>
      <w:r w:rsidR="006064CE">
        <w:rPr>
          <w:rFonts w:cs="Arial"/>
          <w:i/>
          <w:color w:val="0070C0"/>
        </w:rPr>
        <w:t xml:space="preserve"> La plupart des régions françaises se sont montrées intéressées par cette possibilité.</w:t>
      </w:r>
    </w:p>
    <w:p w:rsidR="00EB3CCE" w:rsidRPr="00EB3CCE" w:rsidRDefault="00EB3CCE" w:rsidP="00FF349B"/>
    <w:p w:rsidR="001A4CC6" w:rsidRDefault="00FA5F4F" w:rsidP="009A5C74">
      <w:pPr>
        <w:rPr>
          <w:rFonts w:cs="Arial"/>
        </w:rPr>
      </w:pPr>
      <w:r>
        <w:rPr>
          <w:rFonts w:cs="Arial"/>
        </w:rPr>
        <w:t xml:space="preserve">Cette mesure s’accompagne d’autres mesures, </w:t>
      </w:r>
      <w:r w:rsidR="00CB6A9A">
        <w:rPr>
          <w:rFonts w:cs="Arial"/>
        </w:rPr>
        <w:t xml:space="preserve">comme la possibilité de transfert financier entre les différents fonds, notamment FEDER, FSE et </w:t>
      </w:r>
      <w:r w:rsidR="00CB6A9A" w:rsidRPr="001A4CC6">
        <w:rPr>
          <w:rFonts w:cs="Arial"/>
          <w:b/>
        </w:rPr>
        <w:t>de ne pas se conformer à l’obligation de concentration thématique</w:t>
      </w:r>
      <w:r w:rsidR="00FF349B">
        <w:rPr>
          <w:rFonts w:cs="Arial"/>
        </w:rPr>
        <w:t>.</w:t>
      </w:r>
    </w:p>
    <w:p w:rsidR="00FF349B" w:rsidRPr="00FF349B" w:rsidRDefault="00FF349B" w:rsidP="009A5C74">
      <w:pPr>
        <w:rPr>
          <w:rFonts w:cs="Arial"/>
        </w:rPr>
      </w:pPr>
    </w:p>
    <w:p w:rsidR="00FA5F4F" w:rsidRPr="00AB4FCC" w:rsidRDefault="006A67EF" w:rsidP="009A5C74">
      <w:pPr>
        <w:rPr>
          <w:rFonts w:cs="Arial"/>
          <w:i/>
          <w:color w:val="0070C0"/>
        </w:rPr>
      </w:pPr>
      <w:r w:rsidRPr="00AB4FCC">
        <w:rPr>
          <w:rFonts w:cs="Arial"/>
          <w:i/>
          <w:color w:val="0070C0"/>
        </w:rPr>
        <w:t>Cela signifie que les projets, dès qu’ils sont en lien avec la gestion de la crise sanitaire ou les conséquences économiques, n’auront pas besoin de répondre à d’autres critère</w:t>
      </w:r>
      <w:r w:rsidR="008D14D3">
        <w:rPr>
          <w:rFonts w:cs="Arial"/>
          <w:i/>
          <w:color w:val="0070C0"/>
        </w:rPr>
        <w:t>s</w:t>
      </w:r>
      <w:r w:rsidR="00A67C9D" w:rsidRPr="00AB4FCC">
        <w:rPr>
          <w:rFonts w:cs="Arial"/>
          <w:i/>
          <w:color w:val="0070C0"/>
        </w:rPr>
        <w:t xml:space="preserve"> ou thématiques</w:t>
      </w:r>
      <w:r w:rsidR="008D14D3">
        <w:rPr>
          <w:rFonts w:cs="Arial"/>
          <w:i/>
          <w:color w:val="0070C0"/>
        </w:rPr>
        <w:t xml:space="preserve"> supplémentaires</w:t>
      </w:r>
      <w:r w:rsidR="00634A9E" w:rsidRPr="00AB4FCC">
        <w:rPr>
          <w:rFonts w:cs="Arial"/>
          <w:i/>
          <w:color w:val="0070C0"/>
        </w:rPr>
        <w:t>.</w:t>
      </w:r>
      <w:r w:rsidR="008D14D3">
        <w:rPr>
          <w:rFonts w:cs="Arial"/>
          <w:i/>
          <w:color w:val="0070C0"/>
        </w:rPr>
        <w:t xml:space="preserve"> Seul un</w:t>
      </w:r>
      <w:r w:rsidR="00C03D72" w:rsidRPr="00AB4FCC">
        <w:rPr>
          <w:rFonts w:cs="Arial"/>
          <w:i/>
          <w:color w:val="0070C0"/>
        </w:rPr>
        <w:t xml:space="preserve"> lien avec le COVID-19 importera.</w:t>
      </w:r>
    </w:p>
    <w:p w:rsidR="001A4CC6" w:rsidRPr="001A4CC6" w:rsidRDefault="001A4CC6" w:rsidP="00FF349B"/>
    <w:p w:rsidR="00AB4FCC" w:rsidRDefault="00A67C9D" w:rsidP="009A5C74">
      <w:pPr>
        <w:rPr>
          <w:rFonts w:cs="Arial"/>
        </w:rPr>
      </w:pPr>
      <w:r w:rsidRPr="00AB4FCC">
        <w:rPr>
          <w:rFonts w:cs="Arial"/>
        </w:rPr>
        <w:t>Enfin, l</w:t>
      </w:r>
      <w:r w:rsidR="00B86623" w:rsidRPr="00AB4FCC">
        <w:rPr>
          <w:rFonts w:cs="Arial"/>
        </w:rPr>
        <w:t xml:space="preserve">es opérations déjà mises en œuvre en réponse à la crise comme l’achat </w:t>
      </w:r>
      <w:r w:rsidR="00FF349B">
        <w:rPr>
          <w:rFonts w:cs="Arial"/>
        </w:rPr>
        <w:t>d’équipements médicaux effectué</w:t>
      </w:r>
      <w:r w:rsidR="00B86623" w:rsidRPr="00AB4FCC">
        <w:rPr>
          <w:rFonts w:cs="Arial"/>
        </w:rPr>
        <w:t xml:space="preserve"> avant l’entrée en vigueur de la proposition de la Commission deviendront admissibles </w:t>
      </w:r>
      <w:r w:rsidR="009646B5">
        <w:rPr>
          <w:rFonts w:cs="Arial"/>
        </w:rPr>
        <w:t>rétroactivement</w:t>
      </w:r>
      <w:r w:rsidR="009646B5" w:rsidRPr="00AB4FCC">
        <w:rPr>
          <w:rFonts w:cs="Arial"/>
        </w:rPr>
        <w:t xml:space="preserve"> </w:t>
      </w:r>
      <w:r w:rsidR="00B86623" w:rsidRPr="00AB4FCC">
        <w:rPr>
          <w:rFonts w:cs="Arial"/>
        </w:rPr>
        <w:t>au bénéfice d’u</w:t>
      </w:r>
      <w:r w:rsidR="00AB4FCC">
        <w:rPr>
          <w:rFonts w:cs="Arial"/>
        </w:rPr>
        <w:t>ne aide de l’UE.</w:t>
      </w:r>
    </w:p>
    <w:p w:rsidR="00FF349B" w:rsidRDefault="00FF349B" w:rsidP="009A5C74">
      <w:pPr>
        <w:rPr>
          <w:rFonts w:cs="Arial"/>
        </w:rPr>
      </w:pPr>
    </w:p>
    <w:p w:rsidR="00AB4FCC" w:rsidRPr="00AB4FCC" w:rsidRDefault="00D129F4" w:rsidP="009A5C74">
      <w:pPr>
        <w:rPr>
          <w:rFonts w:cs="Arial"/>
          <w:i/>
          <w:color w:val="0070C0"/>
        </w:rPr>
      </w:pPr>
      <w:r>
        <w:rPr>
          <w:rFonts w:cs="Arial"/>
          <w:i/>
          <w:color w:val="0070C0"/>
        </w:rPr>
        <w:t>Les cibles du CRII+ sont les établissements de santé et les PME mais rien n’empêche un remboursement des achats de masques faits à partir du 1</w:t>
      </w:r>
      <w:r w:rsidRPr="00D129F4">
        <w:rPr>
          <w:rFonts w:cs="Arial"/>
          <w:i/>
          <w:color w:val="0070C0"/>
          <w:vertAlign w:val="superscript"/>
        </w:rPr>
        <w:t>er</w:t>
      </w:r>
      <w:r>
        <w:rPr>
          <w:rFonts w:cs="Arial"/>
          <w:i/>
          <w:color w:val="0070C0"/>
        </w:rPr>
        <w:t xml:space="preserve"> février par les communes et les intercommunalités.</w:t>
      </w:r>
    </w:p>
    <w:p w:rsidR="00AB4FCC" w:rsidRPr="00AB4FCC" w:rsidRDefault="00AB4FCC" w:rsidP="00FF349B"/>
    <w:p w:rsidR="00FA5F4F" w:rsidRPr="0096461C" w:rsidRDefault="00A33549" w:rsidP="009A5C74">
      <w:pPr>
        <w:pStyle w:val="Paragraphedeliste"/>
        <w:numPr>
          <w:ilvl w:val="0"/>
          <w:numId w:val="8"/>
        </w:numPr>
        <w:rPr>
          <w:rFonts w:cs="Arial"/>
          <w:b/>
          <w:color w:val="0070C0"/>
        </w:rPr>
      </w:pPr>
      <w:r w:rsidRPr="0096461C">
        <w:rPr>
          <w:rFonts w:cs="Arial"/>
          <w:b/>
          <w:color w:val="0070C0"/>
        </w:rPr>
        <w:t xml:space="preserve">Pour </w:t>
      </w:r>
      <w:r w:rsidR="000F4358" w:rsidRPr="0096461C">
        <w:rPr>
          <w:rFonts w:cs="Arial"/>
          <w:b/>
          <w:color w:val="0070C0"/>
        </w:rPr>
        <w:t xml:space="preserve">soutenir </w:t>
      </w:r>
      <w:r w:rsidRPr="0096461C">
        <w:rPr>
          <w:rFonts w:cs="Arial"/>
          <w:b/>
          <w:color w:val="0070C0"/>
        </w:rPr>
        <w:t>les communes et intercommunalités bénéficia</w:t>
      </w:r>
      <w:r w:rsidR="00CE16E4" w:rsidRPr="0096461C">
        <w:rPr>
          <w:rFonts w:cs="Arial"/>
          <w:b/>
          <w:color w:val="0070C0"/>
        </w:rPr>
        <w:t>nt ou devant bénéficier</w:t>
      </w:r>
      <w:r w:rsidRPr="0096461C">
        <w:rPr>
          <w:rFonts w:cs="Arial"/>
          <w:b/>
          <w:color w:val="0070C0"/>
        </w:rPr>
        <w:t xml:space="preserve"> </w:t>
      </w:r>
      <w:r w:rsidR="000F3DA3">
        <w:rPr>
          <w:rFonts w:cs="Arial"/>
          <w:b/>
          <w:color w:val="0070C0"/>
        </w:rPr>
        <w:t xml:space="preserve">« normalement » </w:t>
      </w:r>
      <w:r w:rsidRPr="0096461C">
        <w:rPr>
          <w:rFonts w:cs="Arial"/>
          <w:b/>
          <w:color w:val="0070C0"/>
        </w:rPr>
        <w:t>d</w:t>
      </w:r>
      <w:r w:rsidR="00EC7A97">
        <w:rPr>
          <w:rFonts w:cs="Arial"/>
          <w:b/>
          <w:color w:val="0070C0"/>
        </w:rPr>
        <w:t>’un</w:t>
      </w:r>
      <w:r w:rsidRPr="0096461C">
        <w:rPr>
          <w:rFonts w:cs="Arial"/>
          <w:b/>
          <w:color w:val="0070C0"/>
        </w:rPr>
        <w:t>e subvent</w:t>
      </w:r>
      <w:r w:rsidR="004C4A41" w:rsidRPr="0096461C">
        <w:rPr>
          <w:rFonts w:cs="Arial"/>
          <w:b/>
          <w:color w:val="0070C0"/>
        </w:rPr>
        <w:t>ion européenne</w:t>
      </w:r>
    </w:p>
    <w:p w:rsidR="00FF349B" w:rsidRDefault="00FF349B" w:rsidP="009A5C74">
      <w:pPr>
        <w:rPr>
          <w:rFonts w:cs="Arial"/>
        </w:rPr>
      </w:pPr>
    </w:p>
    <w:p w:rsidR="00A33549" w:rsidRPr="00D84FF1" w:rsidRDefault="00A33549" w:rsidP="009A5C74">
      <w:pPr>
        <w:rPr>
          <w:rFonts w:cs="Arial"/>
        </w:rPr>
      </w:pPr>
      <w:r>
        <w:rPr>
          <w:rFonts w:cs="Arial"/>
        </w:rPr>
        <w:t xml:space="preserve">De nombreuses communes et intercommunalités n’ont toujours pas reçu les financements européens pour leurs projets. Aussi, dans le contexte actuel impactant encore davantage les finances des collectivités, </w:t>
      </w:r>
      <w:r w:rsidRPr="000F3DA3">
        <w:rPr>
          <w:rFonts w:cs="Arial"/>
          <w:b/>
        </w:rPr>
        <w:t>l’AMF a demandé à Régions de France de se concentrer sur les retards de paiement et les versements des montants dus aux communes et leur</w:t>
      </w:r>
      <w:r w:rsidR="00D84FF1">
        <w:rPr>
          <w:rFonts w:cs="Arial"/>
          <w:b/>
        </w:rPr>
        <w:t>s</w:t>
      </w:r>
      <w:r w:rsidRPr="000F3DA3">
        <w:rPr>
          <w:rFonts w:cs="Arial"/>
          <w:b/>
        </w:rPr>
        <w:t xml:space="preserve"> groupement</w:t>
      </w:r>
      <w:r w:rsidR="00D84FF1">
        <w:rPr>
          <w:rFonts w:cs="Arial"/>
          <w:b/>
        </w:rPr>
        <w:t>s</w:t>
      </w:r>
      <w:r w:rsidRPr="000F3DA3">
        <w:rPr>
          <w:rFonts w:cs="Arial"/>
          <w:b/>
        </w:rPr>
        <w:t xml:space="preserve"> afin de po</w:t>
      </w:r>
      <w:r w:rsidR="00CE16E4" w:rsidRPr="000F3DA3">
        <w:rPr>
          <w:rFonts w:cs="Arial"/>
          <w:b/>
        </w:rPr>
        <w:t>uvoir alléger quelque peu leur t</w:t>
      </w:r>
      <w:r w:rsidRPr="000F3DA3">
        <w:rPr>
          <w:rFonts w:cs="Arial"/>
          <w:b/>
        </w:rPr>
        <w:t>résorerie</w:t>
      </w:r>
      <w:r w:rsidR="00326840">
        <w:rPr>
          <w:rFonts w:cs="Arial"/>
        </w:rPr>
        <w:t>, notamment dans le cadre des projets LEADER.</w:t>
      </w:r>
    </w:p>
    <w:p w:rsidR="00D84FF1" w:rsidRDefault="00D84FF1" w:rsidP="009A5C74">
      <w:pPr>
        <w:rPr>
          <w:rFonts w:cs="Arial"/>
        </w:rPr>
      </w:pPr>
    </w:p>
    <w:p w:rsidR="000F4358" w:rsidRPr="0096461C" w:rsidRDefault="000F4358" w:rsidP="009A5C74">
      <w:pPr>
        <w:pStyle w:val="Paragraphedeliste"/>
        <w:numPr>
          <w:ilvl w:val="0"/>
          <w:numId w:val="8"/>
        </w:numPr>
        <w:rPr>
          <w:rFonts w:cs="Arial"/>
          <w:b/>
          <w:color w:val="0070C0"/>
        </w:rPr>
      </w:pPr>
      <w:r w:rsidRPr="0096461C">
        <w:rPr>
          <w:rFonts w:cs="Arial"/>
          <w:b/>
          <w:color w:val="0070C0"/>
        </w:rPr>
        <w:t>Pour soutenir les</w:t>
      </w:r>
      <w:r w:rsidR="00F309F3">
        <w:rPr>
          <w:rFonts w:cs="Arial"/>
          <w:b/>
          <w:color w:val="0070C0"/>
        </w:rPr>
        <w:t xml:space="preserve"> communes en zone rurale et les </w:t>
      </w:r>
      <w:r w:rsidRPr="0096461C">
        <w:rPr>
          <w:rFonts w:cs="Arial"/>
          <w:b/>
          <w:color w:val="0070C0"/>
        </w:rPr>
        <w:t>agriculteurs</w:t>
      </w:r>
    </w:p>
    <w:p w:rsidR="00D84FF1" w:rsidRDefault="00D84FF1" w:rsidP="009A5C74">
      <w:pPr>
        <w:rPr>
          <w:rFonts w:cs="Arial"/>
        </w:rPr>
      </w:pPr>
    </w:p>
    <w:p w:rsidR="000F4358" w:rsidRDefault="00FD1BC6" w:rsidP="009A5C74">
      <w:pPr>
        <w:rPr>
          <w:rFonts w:cs="Arial"/>
        </w:rPr>
      </w:pPr>
      <w:r>
        <w:rPr>
          <w:rFonts w:cs="Arial"/>
        </w:rPr>
        <w:t xml:space="preserve">Au titre du </w:t>
      </w:r>
      <w:r w:rsidR="000B39F2">
        <w:rPr>
          <w:rFonts w:cs="Arial"/>
        </w:rPr>
        <w:t xml:space="preserve">fonds de développement rural, </w:t>
      </w:r>
      <w:r>
        <w:rPr>
          <w:rFonts w:cs="Arial"/>
        </w:rPr>
        <w:t xml:space="preserve">FEADER, </w:t>
      </w:r>
      <w:r w:rsidRPr="00542937">
        <w:rPr>
          <w:rFonts w:cs="Arial"/>
          <w:b/>
        </w:rPr>
        <w:t>les agriculteurs et communes ou groupement</w:t>
      </w:r>
      <w:r w:rsidR="00D84FF1">
        <w:rPr>
          <w:rFonts w:cs="Arial"/>
          <w:b/>
        </w:rPr>
        <w:t>s</w:t>
      </w:r>
      <w:r w:rsidRPr="00542937">
        <w:rPr>
          <w:rFonts w:cs="Arial"/>
          <w:b/>
        </w:rPr>
        <w:t xml:space="preserve"> rura</w:t>
      </w:r>
      <w:r w:rsidR="00D84FF1">
        <w:rPr>
          <w:rFonts w:cs="Arial"/>
          <w:b/>
        </w:rPr>
        <w:t>ux</w:t>
      </w:r>
      <w:r w:rsidRPr="00542937">
        <w:rPr>
          <w:rFonts w:cs="Arial"/>
          <w:b/>
        </w:rPr>
        <w:t xml:space="preserve"> pourront bénéficier de prêts ou de garanties pouvant aller jusqu’à 200</w:t>
      </w:r>
      <w:r w:rsidR="00D84FF1">
        <w:rPr>
          <w:rFonts w:cs="Arial"/>
          <w:b/>
        </w:rPr>
        <w:t> </w:t>
      </w:r>
      <w:r w:rsidRPr="00542937">
        <w:rPr>
          <w:rFonts w:cs="Arial"/>
          <w:b/>
        </w:rPr>
        <w:t>000</w:t>
      </w:r>
      <w:r w:rsidR="00D84FF1">
        <w:rPr>
          <w:rFonts w:cs="Arial"/>
          <w:b/>
        </w:rPr>
        <w:t xml:space="preserve"> </w:t>
      </w:r>
      <w:r w:rsidRPr="00542937">
        <w:rPr>
          <w:rFonts w:cs="Arial"/>
          <w:b/>
        </w:rPr>
        <w:t>€</w:t>
      </w:r>
      <w:r w:rsidRPr="00D84FF1">
        <w:rPr>
          <w:rFonts w:cs="Arial"/>
        </w:rPr>
        <w:t>.</w:t>
      </w:r>
    </w:p>
    <w:p w:rsidR="00D84FF1" w:rsidRDefault="00D84FF1" w:rsidP="009A5C74">
      <w:pPr>
        <w:rPr>
          <w:rFonts w:cs="Arial"/>
        </w:rPr>
      </w:pPr>
    </w:p>
    <w:p w:rsidR="00FD1BC6" w:rsidRDefault="005A5A86" w:rsidP="009A5C74">
      <w:pPr>
        <w:rPr>
          <w:rFonts w:cs="Arial"/>
        </w:rPr>
      </w:pPr>
      <w:r>
        <w:rPr>
          <w:rFonts w:cs="Arial"/>
        </w:rPr>
        <w:t>En outre, l</w:t>
      </w:r>
      <w:r w:rsidR="00071AAD">
        <w:rPr>
          <w:rFonts w:cs="Arial"/>
        </w:rPr>
        <w:t>es communes</w:t>
      </w:r>
      <w:r>
        <w:rPr>
          <w:rFonts w:cs="Arial"/>
        </w:rPr>
        <w:t xml:space="preserve"> et leur</w:t>
      </w:r>
      <w:r w:rsidR="00D84FF1">
        <w:rPr>
          <w:rFonts w:cs="Arial"/>
        </w:rPr>
        <w:t>s</w:t>
      </w:r>
      <w:r>
        <w:rPr>
          <w:rFonts w:cs="Arial"/>
        </w:rPr>
        <w:t xml:space="preserve"> groupement</w:t>
      </w:r>
      <w:r w:rsidR="00D84FF1">
        <w:rPr>
          <w:rFonts w:cs="Arial"/>
        </w:rPr>
        <w:t>s</w:t>
      </w:r>
      <w:r w:rsidR="00071AAD">
        <w:rPr>
          <w:rFonts w:cs="Arial"/>
        </w:rPr>
        <w:t xml:space="preserve"> pourront demander une subvention au titre d</w:t>
      </w:r>
      <w:r w:rsidR="003D0398">
        <w:rPr>
          <w:rFonts w:cs="Arial"/>
        </w:rPr>
        <w:t>u</w:t>
      </w:r>
      <w:r w:rsidR="00FD1BC6">
        <w:rPr>
          <w:rFonts w:cs="Arial"/>
        </w:rPr>
        <w:t xml:space="preserve"> fonds </w:t>
      </w:r>
      <w:r w:rsidR="003D0398">
        <w:rPr>
          <w:rFonts w:cs="Arial"/>
        </w:rPr>
        <w:t>FEADER</w:t>
      </w:r>
      <w:r w:rsidR="003A6667">
        <w:rPr>
          <w:rFonts w:cs="Arial"/>
        </w:rPr>
        <w:t xml:space="preserve"> </w:t>
      </w:r>
      <w:r w:rsidR="00FD1BC6" w:rsidRPr="00BE4E57">
        <w:rPr>
          <w:rFonts w:cs="Arial"/>
          <w:b/>
        </w:rPr>
        <w:t>pour investir dans des installations médicales</w:t>
      </w:r>
      <w:r w:rsidR="00071AAD" w:rsidRPr="00BE4E57">
        <w:rPr>
          <w:rFonts w:cs="Arial"/>
          <w:b/>
        </w:rPr>
        <w:t xml:space="preserve"> et des infrastructures à petite échelle dans les zones rurales</w:t>
      </w:r>
      <w:r>
        <w:rPr>
          <w:rFonts w:cs="Arial"/>
        </w:rPr>
        <w:t>. L</w:t>
      </w:r>
      <w:r w:rsidR="00071AAD">
        <w:rPr>
          <w:rFonts w:cs="Arial"/>
        </w:rPr>
        <w:t>’adaptation de centres de santé afin de pouvoir traiter un nombre croissant de patients ou la mise en place d’installation</w:t>
      </w:r>
      <w:r w:rsidR="001D24CD">
        <w:rPr>
          <w:rFonts w:cs="Arial"/>
        </w:rPr>
        <w:t>s</w:t>
      </w:r>
      <w:r w:rsidR="00071AAD">
        <w:rPr>
          <w:rFonts w:cs="Arial"/>
        </w:rPr>
        <w:t xml:space="preserve"> de santé mobiles pour effectuer des tests et fournir des traitements aux agriculteurs et habitants des zones rurales</w:t>
      </w:r>
      <w:r>
        <w:rPr>
          <w:rFonts w:cs="Arial"/>
        </w:rPr>
        <w:t xml:space="preserve"> seront ainsi finançable</w:t>
      </w:r>
      <w:r w:rsidR="00071AAD">
        <w:rPr>
          <w:rFonts w:cs="Arial"/>
        </w:rPr>
        <w:t>.</w:t>
      </w:r>
    </w:p>
    <w:p w:rsidR="001D24CD" w:rsidRDefault="001D24CD" w:rsidP="009A5C74">
      <w:pPr>
        <w:rPr>
          <w:rFonts w:cs="Arial"/>
        </w:rPr>
      </w:pPr>
    </w:p>
    <w:p w:rsidR="00BE4E57" w:rsidRDefault="00E83858" w:rsidP="009A5C74">
      <w:pPr>
        <w:rPr>
          <w:rFonts w:cs="Arial"/>
        </w:rPr>
      </w:pPr>
      <w:r>
        <w:rPr>
          <w:rFonts w:cs="Arial"/>
        </w:rPr>
        <w:t>Au-delà de ces mesures relatives au FEADER, pour les agriculteurs qui déposent des demandes de paiements directs</w:t>
      </w:r>
      <w:r w:rsidR="00A0017A">
        <w:rPr>
          <w:rFonts w:cs="Arial"/>
        </w:rPr>
        <w:t>, ils</w:t>
      </w:r>
      <w:r>
        <w:rPr>
          <w:rFonts w:cs="Arial"/>
        </w:rPr>
        <w:t xml:space="preserve"> auront jusqu’au 15 juin (</w:t>
      </w:r>
      <w:r w:rsidR="00DD0D10">
        <w:rPr>
          <w:rFonts w:cs="Arial"/>
        </w:rPr>
        <w:t xml:space="preserve">contre le </w:t>
      </w:r>
      <w:r>
        <w:rPr>
          <w:rFonts w:cs="Arial"/>
        </w:rPr>
        <w:t>15 mai</w:t>
      </w:r>
      <w:r w:rsidR="00DD0D10">
        <w:rPr>
          <w:rFonts w:cs="Arial"/>
        </w:rPr>
        <w:t xml:space="preserve"> initialement</w:t>
      </w:r>
      <w:r>
        <w:rPr>
          <w:rFonts w:cs="Arial"/>
        </w:rPr>
        <w:t>) pour remplir leur demande. De plus, des avances sur les paiements directs et les paiements au titre du développement rural seront possibles et passent de 50 à 70</w:t>
      </w:r>
      <w:r w:rsidR="00530574">
        <w:rPr>
          <w:rFonts w:cs="Arial"/>
        </w:rPr>
        <w:t xml:space="preserve"> </w:t>
      </w:r>
      <w:r>
        <w:rPr>
          <w:rFonts w:cs="Arial"/>
        </w:rPr>
        <w:t>% pour les paiements directs et de 75 à 85</w:t>
      </w:r>
      <w:r w:rsidR="00530574">
        <w:rPr>
          <w:rFonts w:cs="Arial"/>
        </w:rPr>
        <w:t xml:space="preserve"> </w:t>
      </w:r>
      <w:r>
        <w:rPr>
          <w:rFonts w:cs="Arial"/>
        </w:rPr>
        <w:t xml:space="preserve">% pour les paiements au titre du développement rural, </w:t>
      </w:r>
      <w:r w:rsidR="00A0017A">
        <w:rPr>
          <w:rFonts w:cs="Arial"/>
        </w:rPr>
        <w:t xml:space="preserve">et ce </w:t>
      </w:r>
      <w:r>
        <w:rPr>
          <w:rFonts w:cs="Arial"/>
        </w:rPr>
        <w:t>à partir du 6 octobre 2020.</w:t>
      </w:r>
    </w:p>
    <w:p w:rsidR="00BB48D2" w:rsidRDefault="00BB48D2" w:rsidP="009A5C74">
      <w:pPr>
        <w:rPr>
          <w:rFonts w:cs="Arial"/>
        </w:rPr>
      </w:pPr>
    </w:p>
    <w:p w:rsidR="00BB48D2" w:rsidRPr="00BB48D2" w:rsidRDefault="00BB48D2" w:rsidP="009A5C74">
      <w:pPr>
        <w:rPr>
          <w:rFonts w:cs="Arial"/>
          <w:i/>
          <w:color w:val="0070C0"/>
        </w:rPr>
      </w:pPr>
      <w:r w:rsidRPr="00BB48D2">
        <w:rPr>
          <w:rFonts w:cs="Arial"/>
          <w:i/>
          <w:color w:val="0070C0"/>
        </w:rPr>
        <w:t>Sur ce qui sera financé concrètement au titre du FEADER, les régions ne se sont pas encore emparées de la question. A ce stade, peu de possibilités seront offertes pour les communes et leur groupement, même si rien ne l’interdit.</w:t>
      </w:r>
    </w:p>
    <w:p w:rsidR="00530574" w:rsidRDefault="00530574" w:rsidP="009A5C74">
      <w:pPr>
        <w:rPr>
          <w:rFonts w:cs="Arial"/>
        </w:rPr>
      </w:pPr>
    </w:p>
    <w:p w:rsidR="00A33549" w:rsidRPr="0096461C" w:rsidRDefault="003C4375" w:rsidP="009A5C74">
      <w:pPr>
        <w:pStyle w:val="Paragraphedeliste"/>
        <w:numPr>
          <w:ilvl w:val="0"/>
          <w:numId w:val="8"/>
        </w:numPr>
        <w:rPr>
          <w:rFonts w:cs="Arial"/>
          <w:b/>
          <w:color w:val="0070C0"/>
        </w:rPr>
      </w:pPr>
      <w:r w:rsidRPr="0096461C">
        <w:rPr>
          <w:rFonts w:cs="Arial"/>
          <w:b/>
          <w:color w:val="0070C0"/>
        </w:rPr>
        <w:t>Pour</w:t>
      </w:r>
      <w:r w:rsidR="00864CCE" w:rsidRPr="0096461C">
        <w:rPr>
          <w:rFonts w:cs="Arial"/>
          <w:b/>
          <w:color w:val="0070C0"/>
        </w:rPr>
        <w:t xml:space="preserve"> soutenir</w:t>
      </w:r>
      <w:r w:rsidRPr="0096461C">
        <w:rPr>
          <w:rFonts w:cs="Arial"/>
          <w:b/>
          <w:color w:val="0070C0"/>
        </w:rPr>
        <w:t xml:space="preserve"> le secteur des produits de la mer</w:t>
      </w:r>
    </w:p>
    <w:p w:rsidR="00530574" w:rsidRDefault="00530574" w:rsidP="009A5C74">
      <w:pPr>
        <w:rPr>
          <w:rFonts w:cs="Arial"/>
        </w:rPr>
      </w:pPr>
    </w:p>
    <w:p w:rsidR="003C4375" w:rsidRDefault="00C4159E" w:rsidP="009A5C74">
      <w:pPr>
        <w:rPr>
          <w:rFonts w:cs="Arial"/>
        </w:rPr>
      </w:pPr>
      <w:r>
        <w:rPr>
          <w:rFonts w:cs="Arial"/>
        </w:rPr>
        <w:t>Les communes et intercommunalités du littoral pourront ainsi informer les pêcheurs de leur territoire</w:t>
      </w:r>
      <w:r w:rsidR="00953CB5">
        <w:rPr>
          <w:rFonts w:cs="Arial"/>
        </w:rPr>
        <w:t xml:space="preserve"> qu</w:t>
      </w:r>
      <w:r w:rsidR="00577964">
        <w:rPr>
          <w:rFonts w:cs="Arial"/>
        </w:rPr>
        <w:t>’</w:t>
      </w:r>
      <w:r w:rsidR="00953CB5">
        <w:rPr>
          <w:rFonts w:cs="Arial"/>
        </w:rPr>
        <w:t>i</w:t>
      </w:r>
      <w:r w:rsidR="00577964">
        <w:rPr>
          <w:rFonts w:cs="Arial"/>
        </w:rPr>
        <w:t>ls</w:t>
      </w:r>
      <w:r w:rsidR="00953CB5">
        <w:rPr>
          <w:rFonts w:cs="Arial"/>
        </w:rPr>
        <w:t xml:space="preserve"> </w:t>
      </w:r>
      <w:r>
        <w:rPr>
          <w:rFonts w:cs="Arial"/>
        </w:rPr>
        <w:t>pourront</w:t>
      </w:r>
      <w:r w:rsidR="00953CB5">
        <w:rPr>
          <w:rFonts w:cs="Arial"/>
        </w:rPr>
        <w:t>, au titre du F</w:t>
      </w:r>
      <w:r w:rsidR="00577964">
        <w:rPr>
          <w:rFonts w:cs="Arial"/>
        </w:rPr>
        <w:t>onds européen pour les affaires maritimes et la pêche</w:t>
      </w:r>
      <w:r w:rsidR="00332782">
        <w:rPr>
          <w:rFonts w:cs="Arial"/>
        </w:rPr>
        <w:t xml:space="preserve">, </w:t>
      </w:r>
      <w:r>
        <w:rPr>
          <w:rFonts w:cs="Arial"/>
        </w:rPr>
        <w:t>obtenir une compensation financière de 75</w:t>
      </w:r>
      <w:r w:rsidR="00332782">
        <w:rPr>
          <w:rFonts w:cs="Arial"/>
        </w:rPr>
        <w:t xml:space="preserve"> </w:t>
      </w:r>
      <w:r>
        <w:rPr>
          <w:rFonts w:cs="Arial"/>
        </w:rPr>
        <w:t>% financée par l’UE, les 25</w:t>
      </w:r>
      <w:r w:rsidR="00332782">
        <w:rPr>
          <w:rFonts w:cs="Arial"/>
        </w:rPr>
        <w:t xml:space="preserve"> </w:t>
      </w:r>
      <w:r>
        <w:rPr>
          <w:rFonts w:cs="Arial"/>
        </w:rPr>
        <w:t xml:space="preserve">% restant étant à la charge de </w:t>
      </w:r>
      <w:r w:rsidR="00577964">
        <w:rPr>
          <w:rFonts w:cs="Arial"/>
        </w:rPr>
        <w:t xml:space="preserve">l’Etat </w:t>
      </w:r>
      <w:r w:rsidR="00577964" w:rsidRPr="000B50DF">
        <w:rPr>
          <w:rFonts w:cs="Arial"/>
        </w:rPr>
        <w:t>français</w:t>
      </w:r>
      <w:r w:rsidR="00332782">
        <w:rPr>
          <w:rFonts w:cs="Arial"/>
        </w:rPr>
        <w:t>.</w:t>
      </w:r>
    </w:p>
    <w:p w:rsidR="00332782" w:rsidRPr="000B50DF" w:rsidRDefault="00332782" w:rsidP="009A5C74">
      <w:pPr>
        <w:rPr>
          <w:rFonts w:cs="Arial"/>
        </w:rPr>
      </w:pPr>
    </w:p>
    <w:p w:rsidR="00C4159E" w:rsidRDefault="00C4159E" w:rsidP="009A5C74">
      <w:pPr>
        <w:rPr>
          <w:rFonts w:cs="Arial"/>
        </w:rPr>
      </w:pPr>
      <w:r w:rsidRPr="000B50DF">
        <w:rPr>
          <w:rFonts w:cs="Arial"/>
        </w:rPr>
        <w:t>Cela concerne plus spécifiquement : la compensation de l’arrêt temporaire d’activité de pêche en raison de la pandémie pour les pêcheurs ; le soutien aux exploitations aquacoles pour compenser la suspension temporaire de la production ou les surcoûts et le soutien au stockage des produits.</w:t>
      </w:r>
    </w:p>
    <w:p w:rsidR="00332782" w:rsidRPr="000B50DF" w:rsidRDefault="00332782" w:rsidP="009A5C74">
      <w:pPr>
        <w:rPr>
          <w:rFonts w:cs="Arial"/>
        </w:rPr>
      </w:pPr>
    </w:p>
    <w:p w:rsidR="00953CB5" w:rsidRDefault="00C4159E" w:rsidP="009A5C74">
      <w:pPr>
        <w:rPr>
          <w:rFonts w:cs="Arial"/>
        </w:rPr>
      </w:pPr>
      <w:r w:rsidRPr="000B50DF">
        <w:rPr>
          <w:rFonts w:cs="Arial"/>
        </w:rPr>
        <w:t>La période couverte pour cette compensation est du 1</w:t>
      </w:r>
      <w:r w:rsidRPr="000B50DF">
        <w:rPr>
          <w:rFonts w:cs="Arial"/>
          <w:vertAlign w:val="superscript"/>
        </w:rPr>
        <w:t>er</w:t>
      </w:r>
      <w:r w:rsidRPr="000B50DF">
        <w:rPr>
          <w:rFonts w:cs="Arial"/>
        </w:rPr>
        <w:t xml:space="preserve"> février au 31 décembre 2020.</w:t>
      </w:r>
    </w:p>
    <w:p w:rsidR="00544BF9" w:rsidRDefault="00544BF9" w:rsidP="009A5C74">
      <w:pPr>
        <w:rPr>
          <w:rFonts w:cs="Arial"/>
        </w:rPr>
      </w:pPr>
    </w:p>
    <w:p w:rsidR="00544BF9" w:rsidRPr="00544BF9" w:rsidRDefault="00544BF9" w:rsidP="009A5C74">
      <w:pPr>
        <w:rPr>
          <w:rFonts w:cs="Arial"/>
          <w:i/>
          <w:color w:val="0070C0"/>
        </w:rPr>
      </w:pPr>
      <w:r w:rsidRPr="00544BF9">
        <w:rPr>
          <w:rFonts w:cs="Arial"/>
          <w:i/>
          <w:color w:val="0070C0"/>
        </w:rPr>
        <w:t>Le soutien aux entreprises de pêche sera accru par les régions littorales.</w:t>
      </w:r>
    </w:p>
    <w:p w:rsidR="00332782" w:rsidRPr="000B50DF" w:rsidRDefault="00332782" w:rsidP="009A5C74">
      <w:pPr>
        <w:rPr>
          <w:rFonts w:cs="Arial"/>
        </w:rPr>
      </w:pPr>
    </w:p>
    <w:p w:rsidR="00C4159E" w:rsidRDefault="000B50DF" w:rsidP="009A5C74">
      <w:pPr>
        <w:rPr>
          <w:rFonts w:cs="Arial"/>
        </w:rPr>
      </w:pPr>
      <w:r w:rsidRPr="000B50DF">
        <w:rPr>
          <w:rFonts w:cs="Arial"/>
        </w:rPr>
        <w:t xml:space="preserve">La Direction des </w:t>
      </w:r>
      <w:r w:rsidR="00332782">
        <w:rPr>
          <w:rFonts w:cs="Arial"/>
        </w:rPr>
        <w:t>P</w:t>
      </w:r>
      <w:r w:rsidRPr="000B50DF">
        <w:rPr>
          <w:rFonts w:cs="Arial"/>
        </w:rPr>
        <w:t>êches maritimes et de l’Aquaculture du ministère de l’Agriculture sera en mesure d’apporter les compléments nécessaires</w:t>
      </w:r>
      <w:r>
        <w:rPr>
          <w:rStyle w:val="Appelnotedebasdep"/>
          <w:rFonts w:cs="Arial"/>
        </w:rPr>
        <w:footnoteReference w:id="3"/>
      </w:r>
      <w:r w:rsidRPr="000B50DF">
        <w:rPr>
          <w:rFonts w:cs="Arial"/>
        </w:rPr>
        <w:t>.</w:t>
      </w:r>
    </w:p>
    <w:p w:rsidR="00332782" w:rsidRPr="000B50DF" w:rsidRDefault="00332782" w:rsidP="009A5C74">
      <w:pPr>
        <w:rPr>
          <w:rFonts w:cs="Arial"/>
        </w:rPr>
      </w:pPr>
    </w:p>
    <w:p w:rsidR="000F4358" w:rsidRPr="0096461C" w:rsidRDefault="000F4358" w:rsidP="009A5C74">
      <w:pPr>
        <w:pStyle w:val="Paragraphedeliste"/>
        <w:numPr>
          <w:ilvl w:val="0"/>
          <w:numId w:val="8"/>
        </w:numPr>
        <w:rPr>
          <w:rFonts w:cs="Arial"/>
          <w:b/>
          <w:color w:val="0070C0"/>
        </w:rPr>
      </w:pPr>
      <w:r w:rsidRPr="0096461C">
        <w:rPr>
          <w:rFonts w:cs="Arial"/>
          <w:b/>
          <w:color w:val="0070C0"/>
        </w:rPr>
        <w:t xml:space="preserve">Pour </w:t>
      </w:r>
      <w:r w:rsidR="00864CCE" w:rsidRPr="0096461C">
        <w:rPr>
          <w:rFonts w:cs="Arial"/>
          <w:b/>
          <w:color w:val="0070C0"/>
        </w:rPr>
        <w:t xml:space="preserve">soutenir </w:t>
      </w:r>
      <w:r w:rsidRPr="0096461C">
        <w:rPr>
          <w:rFonts w:cs="Arial"/>
          <w:b/>
          <w:color w:val="0070C0"/>
        </w:rPr>
        <w:t>les entreprises</w:t>
      </w:r>
      <w:r w:rsidR="00820919">
        <w:rPr>
          <w:rFonts w:cs="Arial"/>
          <w:b/>
          <w:color w:val="0070C0"/>
        </w:rPr>
        <w:t xml:space="preserve"> de son territoire</w:t>
      </w:r>
    </w:p>
    <w:p w:rsidR="00332782" w:rsidRDefault="00332782" w:rsidP="009A5C74">
      <w:pPr>
        <w:rPr>
          <w:rFonts w:cs="Arial"/>
        </w:rPr>
      </w:pPr>
    </w:p>
    <w:p w:rsidR="003E25CF" w:rsidRDefault="000F4358" w:rsidP="009A5C74">
      <w:pPr>
        <w:rPr>
          <w:rFonts w:cs="Arial"/>
        </w:rPr>
      </w:pPr>
      <w:r>
        <w:rPr>
          <w:rFonts w:cs="Arial"/>
        </w:rPr>
        <w:t>Afin de permettre au FEDER de soutenir les entreprises,</w:t>
      </w:r>
      <w:r w:rsidR="003E25CF">
        <w:rPr>
          <w:rFonts w:cs="Arial"/>
        </w:rPr>
        <w:t xml:space="preserve"> notamment les PME,</w:t>
      </w:r>
      <w:r>
        <w:rPr>
          <w:rFonts w:cs="Arial"/>
        </w:rPr>
        <w:t xml:space="preserve"> et </w:t>
      </w:r>
      <w:r w:rsidR="003E25CF">
        <w:rPr>
          <w:rFonts w:cs="Arial"/>
        </w:rPr>
        <w:t>en</w:t>
      </w:r>
      <w:r>
        <w:rPr>
          <w:rFonts w:cs="Arial"/>
        </w:rPr>
        <w:t xml:space="preserve"> co</w:t>
      </w:r>
      <w:r w:rsidR="003E25CF">
        <w:rPr>
          <w:rFonts w:cs="Arial"/>
        </w:rPr>
        <w:t xml:space="preserve">ordination avec les </w:t>
      </w:r>
      <w:r>
        <w:rPr>
          <w:rFonts w:cs="Arial"/>
        </w:rPr>
        <w:t xml:space="preserve">modifications </w:t>
      </w:r>
      <w:r w:rsidR="003E25CF">
        <w:rPr>
          <w:rFonts w:cs="Arial"/>
        </w:rPr>
        <w:t>sur les</w:t>
      </w:r>
      <w:r w:rsidR="00332782">
        <w:rPr>
          <w:rFonts w:cs="Arial"/>
        </w:rPr>
        <w:t xml:space="preserve"> aides d’Etat</w:t>
      </w:r>
      <w:r w:rsidR="003E25CF">
        <w:rPr>
          <w:rFonts w:cs="Arial"/>
        </w:rPr>
        <w:t xml:space="preserve"> et les plans nationaux, les régions se concentreront sur les aides directes.</w:t>
      </w:r>
    </w:p>
    <w:p w:rsidR="00332782" w:rsidRDefault="00332782" w:rsidP="009A5C74">
      <w:pPr>
        <w:rPr>
          <w:rFonts w:cs="Arial"/>
        </w:rPr>
      </w:pPr>
    </w:p>
    <w:p w:rsidR="000F4358" w:rsidRDefault="003E25CF" w:rsidP="009A5C74">
      <w:pPr>
        <w:rPr>
          <w:rFonts w:cs="Arial"/>
        </w:rPr>
      </w:pPr>
      <w:r>
        <w:rPr>
          <w:rFonts w:cs="Arial"/>
        </w:rPr>
        <w:t xml:space="preserve">Aussi, pour bénéficier d’une aide, </w:t>
      </w:r>
      <w:r w:rsidR="000F4358">
        <w:rPr>
          <w:rFonts w:cs="Arial"/>
        </w:rPr>
        <w:t xml:space="preserve">les demandeurs n’auront </w:t>
      </w:r>
      <w:r w:rsidR="00E865D4">
        <w:rPr>
          <w:rFonts w:cs="Arial"/>
        </w:rPr>
        <w:t xml:space="preserve">par exemple </w:t>
      </w:r>
      <w:r w:rsidR="000F4358">
        <w:rPr>
          <w:rFonts w:cs="Arial"/>
        </w:rPr>
        <w:t>pas à mettre à jour l’évaluation ex ante (état des lieux et prospective de développement avant le financement) et le</w:t>
      </w:r>
      <w:r>
        <w:rPr>
          <w:rFonts w:cs="Arial"/>
        </w:rPr>
        <w:t>urs</w:t>
      </w:r>
      <w:r w:rsidR="000F4358">
        <w:rPr>
          <w:rFonts w:cs="Arial"/>
        </w:rPr>
        <w:t xml:space="preserve"> plans d’entreprises. Cela permettra de faciliter l’ajustement des instruments financiers qui seront accordés pour soutenir les entreprises en difficulté.</w:t>
      </w:r>
    </w:p>
    <w:p w:rsidR="001017BB" w:rsidRDefault="001017BB" w:rsidP="009A5C74">
      <w:pPr>
        <w:rPr>
          <w:rFonts w:cs="Arial"/>
        </w:rPr>
      </w:pPr>
    </w:p>
    <w:p w:rsidR="00BB48D2" w:rsidRDefault="00BB48D2" w:rsidP="009A5C74">
      <w:pPr>
        <w:rPr>
          <w:rFonts w:cs="Arial"/>
        </w:rPr>
      </w:pPr>
      <w:r>
        <w:rPr>
          <w:rFonts w:cs="Arial"/>
        </w:rPr>
        <w:t>Les régions, avec les crédits restants peuvent ré abonder des fonds existants pour une aide à la trésorerie allant de 6 mois à 2 ans.</w:t>
      </w:r>
    </w:p>
    <w:p w:rsidR="00332782" w:rsidRPr="0084165C" w:rsidRDefault="00332782" w:rsidP="009A5C74">
      <w:pPr>
        <w:rPr>
          <w:rFonts w:cs="Arial"/>
        </w:rPr>
      </w:pPr>
    </w:p>
    <w:p w:rsidR="001017BB" w:rsidRPr="001C0901" w:rsidRDefault="001017BB" w:rsidP="009A5C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Cs w:val="24"/>
        </w:rPr>
      </w:pPr>
      <w:r w:rsidRPr="001C0901">
        <w:rPr>
          <w:rFonts w:cs="Arial"/>
          <w:b/>
          <w:szCs w:val="24"/>
        </w:rPr>
        <w:t xml:space="preserve">Pour en savoir plus sur ce qui sera financé plus concrètement dans chaque région, il faut se rapprocher des services régionaux compétents. </w:t>
      </w:r>
      <w:r w:rsidR="001C0901" w:rsidRPr="001C0901">
        <w:rPr>
          <w:rFonts w:cs="Arial"/>
          <w:b/>
          <w:szCs w:val="24"/>
        </w:rPr>
        <w:t>Chaque région doit être en mesure d’apporter des éléments complémentaires.</w:t>
      </w:r>
    </w:p>
    <w:p w:rsidR="00947EA2" w:rsidRPr="00947EA2" w:rsidRDefault="00947EA2" w:rsidP="009A5C74">
      <w:pPr>
        <w:rPr>
          <w:rFonts w:cs="Arial"/>
        </w:rPr>
      </w:pPr>
    </w:p>
    <w:sectPr w:rsidR="00947EA2" w:rsidRPr="00947EA2" w:rsidSect="009A5C74">
      <w:footerReference w:type="default" r:id="rId9"/>
      <w:pgSz w:w="11906" w:h="16838" w:code="9"/>
      <w:pgMar w:top="1134" w:right="1418" w:bottom="124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E30" w:rsidRDefault="00095E30" w:rsidP="00D7643B">
      <w:r>
        <w:separator/>
      </w:r>
    </w:p>
  </w:endnote>
  <w:endnote w:type="continuationSeparator" w:id="0">
    <w:p w:rsidR="00095E30" w:rsidRDefault="00095E30" w:rsidP="00D76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7374452"/>
      <w:docPartObj>
        <w:docPartGallery w:val="Page Numbers (Bottom of Page)"/>
        <w:docPartUnique/>
      </w:docPartObj>
    </w:sdtPr>
    <w:sdtEndPr/>
    <w:sdtContent>
      <w:p w:rsidR="001D24CD" w:rsidRPr="009A5C74" w:rsidRDefault="001D24CD" w:rsidP="009A5C74">
        <w:pPr>
          <w:pStyle w:val="Pieddepage"/>
          <w:jc w:val="center"/>
        </w:pPr>
        <w:r w:rsidRPr="009A5C74">
          <w:fldChar w:fldCharType="begin"/>
        </w:r>
        <w:r w:rsidRPr="009A5C74">
          <w:instrText>PAGE   \* MERGEFORMAT</w:instrText>
        </w:r>
        <w:r w:rsidRPr="009A5C74">
          <w:fldChar w:fldCharType="separate"/>
        </w:r>
        <w:r w:rsidR="00E10B53">
          <w:rPr>
            <w:noProof/>
          </w:rPr>
          <w:t>1</w:t>
        </w:r>
        <w:r w:rsidRPr="009A5C74">
          <w:fldChar w:fldCharType="end"/>
        </w:r>
      </w:p>
    </w:sdtContent>
  </w:sdt>
  <w:p w:rsidR="001D24CD" w:rsidRPr="004E60D7" w:rsidRDefault="001D24CD">
    <w:pPr>
      <w:pStyle w:val="Pieddepage"/>
      <w:rPr>
        <w:i/>
      </w:rPr>
    </w:pPr>
    <w:r w:rsidRPr="004E60D7">
      <w:rPr>
        <w:i/>
      </w:rPr>
      <w:t>MAEI – Pauline TIVELET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E30" w:rsidRDefault="00095E30" w:rsidP="00D7643B">
      <w:r>
        <w:separator/>
      </w:r>
    </w:p>
  </w:footnote>
  <w:footnote w:type="continuationSeparator" w:id="0">
    <w:p w:rsidR="00095E30" w:rsidRDefault="00095E30" w:rsidP="00D7643B">
      <w:r>
        <w:continuationSeparator/>
      </w:r>
    </w:p>
  </w:footnote>
  <w:footnote w:id="1">
    <w:p w:rsidR="001D24CD" w:rsidRDefault="001D24CD">
      <w:pPr>
        <w:pStyle w:val="Notedebasdepage"/>
      </w:pPr>
      <w:r>
        <w:rPr>
          <w:rStyle w:val="Appelnotedebasdep"/>
        </w:rPr>
        <w:footnoteRef/>
      </w:r>
      <w:r>
        <w:t xml:space="preserve"> Fonds européen de développement régional</w:t>
      </w:r>
    </w:p>
  </w:footnote>
  <w:footnote w:id="2">
    <w:p w:rsidR="001D24CD" w:rsidRDefault="001D24CD">
      <w:pPr>
        <w:pStyle w:val="Notedebasdepage"/>
      </w:pPr>
      <w:r>
        <w:rPr>
          <w:rStyle w:val="Appelnotedebasdep"/>
        </w:rPr>
        <w:footnoteRef/>
      </w:r>
      <w:r>
        <w:t xml:space="preserve"> Fonds social européen</w:t>
      </w:r>
    </w:p>
  </w:footnote>
  <w:footnote w:id="3">
    <w:p w:rsidR="001D24CD" w:rsidRPr="009A5C74" w:rsidRDefault="001D24CD">
      <w:pPr>
        <w:pStyle w:val="Notedebasdepage"/>
        <w:rPr>
          <w:rFonts w:cs="Arial"/>
        </w:rPr>
      </w:pPr>
      <w:r w:rsidRPr="009A5C74">
        <w:rPr>
          <w:rStyle w:val="Appelnotedebasdep"/>
          <w:rFonts w:cs="Arial"/>
        </w:rPr>
        <w:footnoteRef/>
      </w:r>
      <w:r w:rsidRPr="009A5C74">
        <w:rPr>
          <w:rFonts w:cs="Arial"/>
        </w:rPr>
        <w:t xml:space="preserve"> </w:t>
      </w:r>
      <w:hyperlink r:id="rId1" w:history="1">
        <w:r w:rsidRPr="009A5C74">
          <w:rPr>
            <w:rStyle w:val="Lienhypertexte"/>
            <w:rFonts w:cs="Arial"/>
          </w:rPr>
          <w:t>dpma@agriculture.gouv.fr</w:t>
        </w:r>
      </w:hyperlink>
      <w:r w:rsidRPr="009A5C74">
        <w:rPr>
          <w:rFonts w:cs="Arial"/>
        </w:rPr>
        <w:t xml:space="preserve"> / 01 40 81 21 22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C2F14"/>
    <w:multiLevelType w:val="hybridMultilevel"/>
    <w:tmpl w:val="5F9EB84A"/>
    <w:lvl w:ilvl="0" w:tplc="AA2604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377FE"/>
    <w:multiLevelType w:val="hybridMultilevel"/>
    <w:tmpl w:val="C302DF42"/>
    <w:lvl w:ilvl="0" w:tplc="649AFC64">
      <w:start w:val="1"/>
      <w:numFmt w:val="bullet"/>
      <w:pStyle w:val="Titre1"/>
      <w:lvlText w:val="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913DE6"/>
    <w:multiLevelType w:val="hybridMultilevel"/>
    <w:tmpl w:val="96001AE6"/>
    <w:lvl w:ilvl="0" w:tplc="A45A7BF2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25C25"/>
    <w:multiLevelType w:val="multilevel"/>
    <w:tmpl w:val="7244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AE6BC5"/>
    <w:multiLevelType w:val="hybridMultilevel"/>
    <w:tmpl w:val="15CEE6B2"/>
    <w:lvl w:ilvl="0" w:tplc="6A06CF1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D2C18"/>
    <w:multiLevelType w:val="hybridMultilevel"/>
    <w:tmpl w:val="3440F9FE"/>
    <w:lvl w:ilvl="0" w:tplc="151AE7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969D3"/>
    <w:multiLevelType w:val="hybridMultilevel"/>
    <w:tmpl w:val="B5807DDE"/>
    <w:lvl w:ilvl="0" w:tplc="1DA23556"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F6A8C"/>
    <w:multiLevelType w:val="multilevel"/>
    <w:tmpl w:val="7122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D2063E9"/>
    <w:multiLevelType w:val="hybridMultilevel"/>
    <w:tmpl w:val="0DA619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22155A"/>
    <w:multiLevelType w:val="hybridMultilevel"/>
    <w:tmpl w:val="A2C4CC14"/>
    <w:lvl w:ilvl="0" w:tplc="47920D8A">
      <w:numFmt w:val="bullet"/>
      <w:lvlText w:val="-"/>
      <w:lvlJc w:val="left"/>
      <w:pPr>
        <w:ind w:left="1116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41"/>
    <w:rsid w:val="00000F3D"/>
    <w:rsid w:val="00005E7F"/>
    <w:rsid w:val="0002720D"/>
    <w:rsid w:val="00042616"/>
    <w:rsid w:val="00044383"/>
    <w:rsid w:val="00053C84"/>
    <w:rsid w:val="00056E75"/>
    <w:rsid w:val="0006126E"/>
    <w:rsid w:val="00065B18"/>
    <w:rsid w:val="00066DA7"/>
    <w:rsid w:val="000716E4"/>
    <w:rsid w:val="00071AAD"/>
    <w:rsid w:val="00086C60"/>
    <w:rsid w:val="00095E30"/>
    <w:rsid w:val="000A7B6E"/>
    <w:rsid w:val="000B39F2"/>
    <w:rsid w:val="000B50DF"/>
    <w:rsid w:val="000C365B"/>
    <w:rsid w:val="000F3DA3"/>
    <w:rsid w:val="000F4358"/>
    <w:rsid w:val="001017BB"/>
    <w:rsid w:val="001058DC"/>
    <w:rsid w:val="001500DB"/>
    <w:rsid w:val="00154170"/>
    <w:rsid w:val="00161705"/>
    <w:rsid w:val="00165309"/>
    <w:rsid w:val="00165909"/>
    <w:rsid w:val="00181A91"/>
    <w:rsid w:val="00190A99"/>
    <w:rsid w:val="001940FB"/>
    <w:rsid w:val="001969BC"/>
    <w:rsid w:val="001A4CC6"/>
    <w:rsid w:val="001C0901"/>
    <w:rsid w:val="001C7261"/>
    <w:rsid w:val="001D24CD"/>
    <w:rsid w:val="001D5F86"/>
    <w:rsid w:val="001E734F"/>
    <w:rsid w:val="001F0923"/>
    <w:rsid w:val="002066AD"/>
    <w:rsid w:val="00222944"/>
    <w:rsid w:val="00226113"/>
    <w:rsid w:val="00231327"/>
    <w:rsid w:val="00235C61"/>
    <w:rsid w:val="0024335D"/>
    <w:rsid w:val="00261E08"/>
    <w:rsid w:val="00270908"/>
    <w:rsid w:val="002A06C4"/>
    <w:rsid w:val="002A32C0"/>
    <w:rsid w:val="002A4ABE"/>
    <w:rsid w:val="002B4613"/>
    <w:rsid w:val="002C7227"/>
    <w:rsid w:val="002D64C7"/>
    <w:rsid w:val="002E59BA"/>
    <w:rsid w:val="00311A5F"/>
    <w:rsid w:val="0031316D"/>
    <w:rsid w:val="00317CC8"/>
    <w:rsid w:val="00326840"/>
    <w:rsid w:val="00332782"/>
    <w:rsid w:val="00374685"/>
    <w:rsid w:val="00376DDC"/>
    <w:rsid w:val="00397BED"/>
    <w:rsid w:val="003A5971"/>
    <w:rsid w:val="003A6667"/>
    <w:rsid w:val="003B72C1"/>
    <w:rsid w:val="003B7FB5"/>
    <w:rsid w:val="003C4375"/>
    <w:rsid w:val="003D0398"/>
    <w:rsid w:val="003D6423"/>
    <w:rsid w:val="003E25CF"/>
    <w:rsid w:val="003E3B5F"/>
    <w:rsid w:val="003E7449"/>
    <w:rsid w:val="003E7BA1"/>
    <w:rsid w:val="003F08C7"/>
    <w:rsid w:val="003F2D27"/>
    <w:rsid w:val="00424691"/>
    <w:rsid w:val="004379B3"/>
    <w:rsid w:val="004428A0"/>
    <w:rsid w:val="00442CD8"/>
    <w:rsid w:val="00454569"/>
    <w:rsid w:val="004557F6"/>
    <w:rsid w:val="0046294C"/>
    <w:rsid w:val="00464B22"/>
    <w:rsid w:val="00474366"/>
    <w:rsid w:val="0047578E"/>
    <w:rsid w:val="00480B22"/>
    <w:rsid w:val="00486592"/>
    <w:rsid w:val="00487C69"/>
    <w:rsid w:val="004901AF"/>
    <w:rsid w:val="004964EF"/>
    <w:rsid w:val="004C0DD1"/>
    <w:rsid w:val="004C2B1E"/>
    <w:rsid w:val="004C4A41"/>
    <w:rsid w:val="004C5845"/>
    <w:rsid w:val="004D1C59"/>
    <w:rsid w:val="004D3D79"/>
    <w:rsid w:val="004E4847"/>
    <w:rsid w:val="004E60D7"/>
    <w:rsid w:val="004F37FB"/>
    <w:rsid w:val="00500F41"/>
    <w:rsid w:val="0051075D"/>
    <w:rsid w:val="00515B93"/>
    <w:rsid w:val="00530574"/>
    <w:rsid w:val="00542937"/>
    <w:rsid w:val="00544BF9"/>
    <w:rsid w:val="00553BEF"/>
    <w:rsid w:val="0057187B"/>
    <w:rsid w:val="00574016"/>
    <w:rsid w:val="00577964"/>
    <w:rsid w:val="00592132"/>
    <w:rsid w:val="005A5A86"/>
    <w:rsid w:val="005A7675"/>
    <w:rsid w:val="005B15BA"/>
    <w:rsid w:val="005C3806"/>
    <w:rsid w:val="005C5A9E"/>
    <w:rsid w:val="005C7DEA"/>
    <w:rsid w:val="005E2B4E"/>
    <w:rsid w:val="005F13DB"/>
    <w:rsid w:val="005F209C"/>
    <w:rsid w:val="005F4A76"/>
    <w:rsid w:val="006064CE"/>
    <w:rsid w:val="00632689"/>
    <w:rsid w:val="00634A9E"/>
    <w:rsid w:val="006511C7"/>
    <w:rsid w:val="00657A40"/>
    <w:rsid w:val="00663778"/>
    <w:rsid w:val="00671556"/>
    <w:rsid w:val="00676972"/>
    <w:rsid w:val="00676E24"/>
    <w:rsid w:val="006913C9"/>
    <w:rsid w:val="0069681E"/>
    <w:rsid w:val="006A1C04"/>
    <w:rsid w:val="006A67EF"/>
    <w:rsid w:val="006A77C4"/>
    <w:rsid w:val="006C22F5"/>
    <w:rsid w:val="006C34B0"/>
    <w:rsid w:val="006D6EC1"/>
    <w:rsid w:val="006E46B6"/>
    <w:rsid w:val="0070236F"/>
    <w:rsid w:val="00703946"/>
    <w:rsid w:val="00711284"/>
    <w:rsid w:val="00734576"/>
    <w:rsid w:val="00736595"/>
    <w:rsid w:val="0075091B"/>
    <w:rsid w:val="0076131D"/>
    <w:rsid w:val="00773CD3"/>
    <w:rsid w:val="007748CA"/>
    <w:rsid w:val="00791D62"/>
    <w:rsid w:val="00794631"/>
    <w:rsid w:val="00795369"/>
    <w:rsid w:val="007A29CE"/>
    <w:rsid w:val="007D0EE6"/>
    <w:rsid w:val="007D279E"/>
    <w:rsid w:val="007F30B5"/>
    <w:rsid w:val="00820919"/>
    <w:rsid w:val="008301D5"/>
    <w:rsid w:val="0083563C"/>
    <w:rsid w:val="0084165C"/>
    <w:rsid w:val="00846734"/>
    <w:rsid w:val="008479D1"/>
    <w:rsid w:val="00864CCE"/>
    <w:rsid w:val="008A7E93"/>
    <w:rsid w:val="008B43A8"/>
    <w:rsid w:val="008D14D3"/>
    <w:rsid w:val="008E14CC"/>
    <w:rsid w:val="008E16EC"/>
    <w:rsid w:val="008F1460"/>
    <w:rsid w:val="0092457B"/>
    <w:rsid w:val="00933FEA"/>
    <w:rsid w:val="00947EA2"/>
    <w:rsid w:val="00953CB5"/>
    <w:rsid w:val="0096461C"/>
    <w:rsid w:val="009646B5"/>
    <w:rsid w:val="0096509E"/>
    <w:rsid w:val="0097264A"/>
    <w:rsid w:val="00980B3E"/>
    <w:rsid w:val="009A492E"/>
    <w:rsid w:val="009A5C74"/>
    <w:rsid w:val="009F4554"/>
    <w:rsid w:val="009F6954"/>
    <w:rsid w:val="009F6F70"/>
    <w:rsid w:val="009F77A2"/>
    <w:rsid w:val="00A0017A"/>
    <w:rsid w:val="00A10476"/>
    <w:rsid w:val="00A13F5C"/>
    <w:rsid w:val="00A247E7"/>
    <w:rsid w:val="00A32682"/>
    <w:rsid w:val="00A33549"/>
    <w:rsid w:val="00A55ADA"/>
    <w:rsid w:val="00A67C9D"/>
    <w:rsid w:val="00A81DE5"/>
    <w:rsid w:val="00A82451"/>
    <w:rsid w:val="00A91FAB"/>
    <w:rsid w:val="00A92006"/>
    <w:rsid w:val="00AA02F6"/>
    <w:rsid w:val="00AA6FC4"/>
    <w:rsid w:val="00AB029E"/>
    <w:rsid w:val="00AB19A1"/>
    <w:rsid w:val="00AB4FCC"/>
    <w:rsid w:val="00AC205D"/>
    <w:rsid w:val="00AC26F1"/>
    <w:rsid w:val="00AD776A"/>
    <w:rsid w:val="00AD7C4B"/>
    <w:rsid w:val="00AF41B5"/>
    <w:rsid w:val="00B1247F"/>
    <w:rsid w:val="00B25FCC"/>
    <w:rsid w:val="00B40BE0"/>
    <w:rsid w:val="00B418B9"/>
    <w:rsid w:val="00B731C3"/>
    <w:rsid w:val="00B86623"/>
    <w:rsid w:val="00BB48D2"/>
    <w:rsid w:val="00BC41F9"/>
    <w:rsid w:val="00BE4E57"/>
    <w:rsid w:val="00BF230A"/>
    <w:rsid w:val="00BF2488"/>
    <w:rsid w:val="00C03D72"/>
    <w:rsid w:val="00C20246"/>
    <w:rsid w:val="00C216EB"/>
    <w:rsid w:val="00C36717"/>
    <w:rsid w:val="00C4159E"/>
    <w:rsid w:val="00C4595C"/>
    <w:rsid w:val="00C53E96"/>
    <w:rsid w:val="00C57421"/>
    <w:rsid w:val="00C57DF0"/>
    <w:rsid w:val="00C6448E"/>
    <w:rsid w:val="00C806B9"/>
    <w:rsid w:val="00CA50BE"/>
    <w:rsid w:val="00CA672A"/>
    <w:rsid w:val="00CB6A9A"/>
    <w:rsid w:val="00CC6A96"/>
    <w:rsid w:val="00CD50AE"/>
    <w:rsid w:val="00CE16E4"/>
    <w:rsid w:val="00CE5DF9"/>
    <w:rsid w:val="00CE651E"/>
    <w:rsid w:val="00CF3381"/>
    <w:rsid w:val="00CF467B"/>
    <w:rsid w:val="00D0082D"/>
    <w:rsid w:val="00D129F4"/>
    <w:rsid w:val="00D211D1"/>
    <w:rsid w:val="00D62AFE"/>
    <w:rsid w:val="00D701F7"/>
    <w:rsid w:val="00D73E0D"/>
    <w:rsid w:val="00D7643B"/>
    <w:rsid w:val="00D84FF1"/>
    <w:rsid w:val="00D9013B"/>
    <w:rsid w:val="00DA5816"/>
    <w:rsid w:val="00DB26AB"/>
    <w:rsid w:val="00DB45B3"/>
    <w:rsid w:val="00DC1923"/>
    <w:rsid w:val="00DC72BA"/>
    <w:rsid w:val="00DD0D10"/>
    <w:rsid w:val="00DD0F27"/>
    <w:rsid w:val="00DE6CB5"/>
    <w:rsid w:val="00E021F3"/>
    <w:rsid w:val="00E04729"/>
    <w:rsid w:val="00E10B53"/>
    <w:rsid w:val="00E24006"/>
    <w:rsid w:val="00E31E7D"/>
    <w:rsid w:val="00E33C6F"/>
    <w:rsid w:val="00E36274"/>
    <w:rsid w:val="00E52EBA"/>
    <w:rsid w:val="00E63265"/>
    <w:rsid w:val="00E67C79"/>
    <w:rsid w:val="00E83858"/>
    <w:rsid w:val="00E865D4"/>
    <w:rsid w:val="00EB06CD"/>
    <w:rsid w:val="00EB3CCE"/>
    <w:rsid w:val="00EB61CE"/>
    <w:rsid w:val="00EC7A97"/>
    <w:rsid w:val="00F07265"/>
    <w:rsid w:val="00F14B94"/>
    <w:rsid w:val="00F309F3"/>
    <w:rsid w:val="00F3500F"/>
    <w:rsid w:val="00F441CC"/>
    <w:rsid w:val="00F45025"/>
    <w:rsid w:val="00F53FBE"/>
    <w:rsid w:val="00F63BD5"/>
    <w:rsid w:val="00F673EC"/>
    <w:rsid w:val="00F7476C"/>
    <w:rsid w:val="00F80011"/>
    <w:rsid w:val="00F905A1"/>
    <w:rsid w:val="00F95AED"/>
    <w:rsid w:val="00FA5F4F"/>
    <w:rsid w:val="00FC40AD"/>
    <w:rsid w:val="00FC59FD"/>
    <w:rsid w:val="00FC7A7D"/>
    <w:rsid w:val="00FD0AF3"/>
    <w:rsid w:val="00FD1BC6"/>
    <w:rsid w:val="00FD419F"/>
    <w:rsid w:val="00FF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6DAE0"/>
  <w15:chartTrackingRefBased/>
  <w15:docId w15:val="{CD798B1E-6EA2-4DAC-B2E4-21656C3F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0D7"/>
    <w:pPr>
      <w:spacing w:after="0" w:line="240" w:lineRule="auto"/>
      <w:jc w:val="both"/>
    </w:pPr>
    <w:rPr>
      <w:rFonts w:ascii="Arial" w:hAnsi="Arial"/>
      <w:sz w:val="20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FF349B"/>
    <w:pPr>
      <w:numPr>
        <w:numId w:val="10"/>
      </w:numPr>
      <w:outlineLvl w:val="0"/>
    </w:pPr>
    <w:rPr>
      <w:rFonts w:cs="Arial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34B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7643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7643B"/>
  </w:style>
  <w:style w:type="paragraph" w:styleId="Pieddepage">
    <w:name w:val="footer"/>
    <w:basedOn w:val="Normal"/>
    <w:link w:val="PieddepageCar"/>
    <w:uiPriority w:val="99"/>
    <w:unhideWhenUsed/>
    <w:rsid w:val="00D7643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7643B"/>
  </w:style>
  <w:style w:type="character" w:styleId="lev">
    <w:name w:val="Strong"/>
    <w:basedOn w:val="Policepardfaut"/>
    <w:uiPriority w:val="22"/>
    <w:qFormat/>
    <w:rsid w:val="0004261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C59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E60D7"/>
    <w:rPr>
      <w:sz w:val="18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E60D7"/>
    <w:rPr>
      <w:rFonts w:ascii="Arial" w:hAnsi="Arial"/>
      <w:sz w:val="18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B50DF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0B50DF"/>
    <w:rPr>
      <w:color w:val="0563C1" w:themeColor="hyperlink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A5C74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9A5C74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A5C74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FF349B"/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dpma@agriculture.gouv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E59A1-24ED-43DE-8527-6C5823B5E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DE4DC9D3</Template>
  <TotalTime>2</TotalTime>
  <Pages>1</Pages>
  <Words>1424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TIVELET Pauline</dc:creator>
  <cp:keywords/>
  <dc:description/>
  <cp:lastModifiedBy>TIVELET Pauline</cp:lastModifiedBy>
  <cp:revision>3</cp:revision>
  <dcterms:created xsi:type="dcterms:W3CDTF">2020-05-12T15:57:00Z</dcterms:created>
  <dcterms:modified xsi:type="dcterms:W3CDTF">2020-05-12T15:57:00Z</dcterms:modified>
</cp:coreProperties>
</file>